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DC84" w14:textId="77777777" w:rsidR="00A27B5D" w:rsidRDefault="00A27B5D"/>
    <w:p w14:paraId="34A6B4AE" w14:textId="77777777" w:rsidR="00A27B5D" w:rsidRDefault="00A27B5D"/>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14:paraId="3CEDBF29" w14:textId="77777777" w:rsidTr="0011042A">
        <w:trPr>
          <w:trHeight w:val="557"/>
        </w:trPr>
        <w:tc>
          <w:tcPr>
            <w:tcW w:w="8977" w:type="dxa"/>
          </w:tcPr>
          <w:p w14:paraId="7A6E5372" w14:textId="77777777" w:rsidR="00A27B5D" w:rsidRDefault="00A27B5D" w:rsidP="007D6EA7">
            <w:pPr>
              <w:pStyle w:val="Ttulo2"/>
              <w:ind w:right="72"/>
              <w:outlineLvl w:val="1"/>
              <w:rPr>
                <w:rFonts w:cs="Arial"/>
                <w:bCs/>
                <w:sz w:val="24"/>
                <w:szCs w:val="24"/>
              </w:rPr>
            </w:pPr>
          </w:p>
          <w:p w14:paraId="75842D41" w14:textId="77777777" w:rsidR="00FF1E8D" w:rsidRDefault="00FF1E8D" w:rsidP="007D6EA7">
            <w:pPr>
              <w:pStyle w:val="Ttulo2"/>
              <w:ind w:right="72"/>
              <w:outlineLvl w:val="1"/>
              <w:rPr>
                <w:rFonts w:cs="Arial"/>
                <w:bCs/>
                <w:sz w:val="24"/>
                <w:szCs w:val="24"/>
              </w:rPr>
            </w:pPr>
            <w:r w:rsidRPr="009918A3">
              <w:rPr>
                <w:rFonts w:cs="Arial"/>
                <w:bCs/>
                <w:sz w:val="24"/>
                <w:szCs w:val="24"/>
              </w:rPr>
              <w:t xml:space="preserve">MEMORIA </w:t>
            </w:r>
            <w:r w:rsidR="009918A3" w:rsidRPr="009918A3">
              <w:rPr>
                <w:rFonts w:cs="Arial"/>
                <w:bCs/>
                <w:sz w:val="24"/>
                <w:szCs w:val="24"/>
              </w:rPr>
              <w:t>JUSTIFICATIVA – EXPEDICIÓN</w:t>
            </w:r>
            <w:r w:rsidRPr="009918A3">
              <w:rPr>
                <w:rFonts w:cs="Arial"/>
                <w:bCs/>
                <w:sz w:val="24"/>
                <w:szCs w:val="24"/>
              </w:rPr>
              <w:t xml:space="preserve"> NORMATIVA</w:t>
            </w:r>
          </w:p>
          <w:p w14:paraId="6AC905BB" w14:textId="77777777" w:rsidR="00A27B5D" w:rsidRPr="00A27B5D" w:rsidRDefault="00A27B5D" w:rsidP="00A27B5D"/>
        </w:tc>
      </w:tr>
      <w:tr w:rsidR="00FF1E8D" w14:paraId="132109B8" w14:textId="77777777" w:rsidTr="009C2732">
        <w:trPr>
          <w:trHeight w:val="573"/>
        </w:trPr>
        <w:tc>
          <w:tcPr>
            <w:tcW w:w="8977" w:type="dxa"/>
          </w:tcPr>
          <w:p w14:paraId="07CB54DA" w14:textId="77777777" w:rsidR="00B70BBE" w:rsidRDefault="00B70BBE" w:rsidP="00814F54">
            <w:pPr>
              <w:jc w:val="both"/>
              <w:rPr>
                <w:rFonts w:cs="Arial"/>
                <w:b/>
                <w:sz w:val="24"/>
                <w:szCs w:val="24"/>
                <w:lang w:val="es-CO"/>
              </w:rPr>
            </w:pPr>
          </w:p>
          <w:p w14:paraId="1E82D137" w14:textId="77777777" w:rsidR="00FF1E8D" w:rsidRDefault="005539C3" w:rsidP="00814F54">
            <w:pPr>
              <w:jc w:val="both"/>
              <w:rPr>
                <w:rFonts w:cs="Arial"/>
                <w:sz w:val="24"/>
                <w:szCs w:val="24"/>
                <w:lang w:val="es-CO"/>
              </w:rPr>
            </w:pPr>
            <w:r w:rsidRPr="00FF1E8D">
              <w:rPr>
                <w:rFonts w:cs="Arial"/>
                <w:b/>
                <w:sz w:val="24"/>
                <w:szCs w:val="24"/>
                <w:lang w:val="es-CO"/>
              </w:rPr>
              <w:t>ENTIDAD QUE DESARROLLARA EL PROYECTO DE NORMA</w:t>
            </w:r>
            <w:r>
              <w:rPr>
                <w:rFonts w:cs="Arial"/>
                <w:b/>
                <w:sz w:val="24"/>
                <w:szCs w:val="24"/>
                <w:lang w:val="es-CO"/>
              </w:rPr>
              <w:t xml:space="preserve">: </w:t>
            </w:r>
            <w:r w:rsidR="00FF1E8D" w:rsidRPr="00FF1E8D">
              <w:rPr>
                <w:rFonts w:cs="Arial"/>
                <w:sz w:val="24"/>
                <w:szCs w:val="24"/>
                <w:lang w:val="es-CO"/>
              </w:rPr>
              <w:t>Fondo Nacional del Ahorro</w:t>
            </w:r>
            <w:r w:rsidR="00C0667D">
              <w:rPr>
                <w:rFonts w:cs="Arial"/>
                <w:sz w:val="24"/>
                <w:szCs w:val="24"/>
                <w:lang w:val="es-CO"/>
              </w:rPr>
              <w:t xml:space="preserve"> Carlos Lleras Restrepo</w:t>
            </w:r>
            <w:r w:rsidR="00B9058E">
              <w:rPr>
                <w:rFonts w:cs="Arial"/>
                <w:sz w:val="24"/>
                <w:szCs w:val="24"/>
                <w:lang w:val="es-CO"/>
              </w:rPr>
              <w:t>.</w:t>
            </w:r>
          </w:p>
          <w:p w14:paraId="1BA0F04B" w14:textId="77777777" w:rsidR="00A27B5D" w:rsidRDefault="00A27B5D" w:rsidP="00814F54">
            <w:pPr>
              <w:jc w:val="both"/>
              <w:rPr>
                <w:rFonts w:cs="Arial"/>
                <w:sz w:val="24"/>
                <w:szCs w:val="24"/>
                <w:lang w:val="es-CO"/>
              </w:rPr>
            </w:pPr>
          </w:p>
          <w:p w14:paraId="082F2166" w14:textId="77777777" w:rsidR="0017608B" w:rsidRPr="00FF1E8D" w:rsidRDefault="0017608B" w:rsidP="00814F54">
            <w:pPr>
              <w:jc w:val="both"/>
              <w:rPr>
                <w:b/>
              </w:rPr>
            </w:pPr>
          </w:p>
        </w:tc>
      </w:tr>
      <w:tr w:rsidR="00FF1E8D" w14:paraId="4F5E564D" w14:textId="77777777" w:rsidTr="009C2732">
        <w:trPr>
          <w:trHeight w:val="511"/>
        </w:trPr>
        <w:tc>
          <w:tcPr>
            <w:tcW w:w="8977" w:type="dxa"/>
          </w:tcPr>
          <w:p w14:paraId="757E8C24" w14:textId="77777777" w:rsidR="00FF1E8D" w:rsidRDefault="00FF1E8D" w:rsidP="00814F54">
            <w:pPr>
              <w:jc w:val="both"/>
            </w:pPr>
          </w:p>
          <w:p w14:paraId="12D3390B" w14:textId="2E108509" w:rsidR="00A27B5D" w:rsidRDefault="005539C3" w:rsidP="0018046A">
            <w:pPr>
              <w:jc w:val="both"/>
              <w:rPr>
                <w:sz w:val="24"/>
                <w:szCs w:val="24"/>
              </w:rPr>
            </w:pPr>
            <w:r w:rsidRPr="00A56AE8">
              <w:rPr>
                <w:b/>
                <w:sz w:val="24"/>
                <w:szCs w:val="24"/>
              </w:rPr>
              <w:t>FECHA</w:t>
            </w:r>
            <w:r w:rsidRPr="008B3C6C">
              <w:rPr>
                <w:sz w:val="24"/>
                <w:szCs w:val="24"/>
              </w:rPr>
              <w:t xml:space="preserve">: </w:t>
            </w:r>
            <w:r w:rsidR="00CA5974">
              <w:rPr>
                <w:sz w:val="24"/>
                <w:szCs w:val="24"/>
              </w:rPr>
              <w:t>febrero 2022</w:t>
            </w:r>
          </w:p>
          <w:p w14:paraId="4C400721" w14:textId="77777777" w:rsidR="005779A4" w:rsidRPr="00A56AE8" w:rsidRDefault="00F83B25" w:rsidP="0018046A">
            <w:pPr>
              <w:jc w:val="both"/>
              <w:rPr>
                <w:b/>
                <w:sz w:val="24"/>
                <w:szCs w:val="24"/>
              </w:rPr>
            </w:pPr>
            <w:r>
              <w:rPr>
                <w:sz w:val="24"/>
                <w:szCs w:val="24"/>
              </w:rPr>
              <w:t xml:space="preserve"> </w:t>
            </w:r>
          </w:p>
        </w:tc>
      </w:tr>
      <w:tr w:rsidR="00FF1E8D" w14:paraId="594F06B5" w14:textId="77777777" w:rsidTr="009C2732">
        <w:trPr>
          <w:trHeight w:val="806"/>
        </w:trPr>
        <w:tc>
          <w:tcPr>
            <w:tcW w:w="8977" w:type="dxa"/>
          </w:tcPr>
          <w:p w14:paraId="7121B597" w14:textId="77777777" w:rsidR="00A56AE8" w:rsidRDefault="00A56AE8" w:rsidP="00814F54">
            <w:pPr>
              <w:ind w:right="72"/>
              <w:jc w:val="both"/>
              <w:rPr>
                <w:rFonts w:cs="Arial"/>
                <w:b/>
                <w:bCs/>
                <w:sz w:val="24"/>
                <w:szCs w:val="24"/>
              </w:rPr>
            </w:pPr>
          </w:p>
          <w:p w14:paraId="35405818" w14:textId="2EBA3001" w:rsidR="006E0705" w:rsidRPr="009D04F6" w:rsidRDefault="005539C3" w:rsidP="006E0705">
            <w:pPr>
              <w:tabs>
                <w:tab w:val="left" w:pos="284"/>
                <w:tab w:val="left" w:pos="8931"/>
              </w:tabs>
              <w:ind w:right="44"/>
              <w:jc w:val="both"/>
              <w:rPr>
                <w:rFonts w:cs="Arial"/>
                <w:bCs/>
                <w:iCs/>
                <w:sz w:val="24"/>
                <w:szCs w:val="24"/>
              </w:rPr>
            </w:pPr>
            <w:r w:rsidRPr="00D37A3A">
              <w:rPr>
                <w:rFonts w:cs="Arial"/>
                <w:b/>
                <w:bCs/>
                <w:sz w:val="24"/>
                <w:szCs w:val="24"/>
              </w:rPr>
              <w:t>PROYECTO DE ACTO ADMINISTRATIVO</w:t>
            </w:r>
            <w:r w:rsidRPr="00D37A3A">
              <w:rPr>
                <w:rFonts w:cs="Arial"/>
                <w:bCs/>
                <w:sz w:val="24"/>
                <w:szCs w:val="24"/>
              </w:rPr>
              <w:t xml:space="preserve">: </w:t>
            </w:r>
            <w:r w:rsidR="00A27B5D">
              <w:rPr>
                <w:rFonts w:cs="Arial"/>
                <w:bCs/>
                <w:sz w:val="24"/>
                <w:szCs w:val="24"/>
              </w:rPr>
              <w:t>P</w:t>
            </w:r>
            <w:r w:rsidR="006E0705" w:rsidRPr="00D37A3A">
              <w:rPr>
                <w:rFonts w:cs="Arial"/>
                <w:bCs/>
                <w:sz w:val="24"/>
                <w:szCs w:val="24"/>
              </w:rPr>
              <w:t xml:space="preserve">or medio del cual </w:t>
            </w:r>
            <w:proofErr w:type="gramStart"/>
            <w:r w:rsidR="006E0705" w:rsidRPr="009D04F6">
              <w:rPr>
                <w:rFonts w:cs="Arial"/>
                <w:bCs/>
                <w:sz w:val="24"/>
                <w:szCs w:val="24"/>
              </w:rPr>
              <w:t xml:space="preserve">se </w:t>
            </w:r>
            <w:r w:rsidR="009D04F6" w:rsidRPr="009D04F6">
              <w:rPr>
                <w:rFonts w:cs="Arial"/>
                <w:bCs/>
                <w:iCs/>
                <w:sz w:val="24"/>
                <w:szCs w:val="24"/>
              </w:rPr>
              <w:t xml:space="preserve"> adicionan</w:t>
            </w:r>
            <w:proofErr w:type="gramEnd"/>
            <w:r w:rsidR="009D04F6" w:rsidRPr="009D04F6">
              <w:rPr>
                <w:rFonts w:cs="Arial"/>
                <w:bCs/>
                <w:iCs/>
                <w:sz w:val="24"/>
                <w:szCs w:val="24"/>
              </w:rPr>
              <w:t xml:space="preserve"> los Reglamento de Ahorro Voluntario Contractual AVC en el Fondo Nacional del Ahorro</w:t>
            </w:r>
          </w:p>
          <w:p w14:paraId="00805C7A" w14:textId="77777777" w:rsidR="009C2732" w:rsidRPr="009D04F6" w:rsidRDefault="009C2732" w:rsidP="00814F54">
            <w:pPr>
              <w:tabs>
                <w:tab w:val="left" w:pos="284"/>
                <w:tab w:val="left" w:pos="8931"/>
              </w:tabs>
              <w:ind w:right="44"/>
              <w:jc w:val="both"/>
              <w:rPr>
                <w:bCs/>
                <w:sz w:val="24"/>
                <w:szCs w:val="24"/>
              </w:rPr>
            </w:pPr>
          </w:p>
          <w:p w14:paraId="576859EF" w14:textId="77777777" w:rsidR="00A27B5D" w:rsidRDefault="00A27B5D" w:rsidP="00814F54">
            <w:pPr>
              <w:tabs>
                <w:tab w:val="left" w:pos="284"/>
                <w:tab w:val="left" w:pos="8931"/>
              </w:tabs>
              <w:ind w:right="44"/>
              <w:jc w:val="both"/>
            </w:pPr>
          </w:p>
        </w:tc>
      </w:tr>
      <w:tr w:rsidR="00FF1E8D" w14:paraId="5652AB20" w14:textId="77777777" w:rsidTr="009C2732">
        <w:trPr>
          <w:trHeight w:val="744"/>
        </w:trPr>
        <w:tc>
          <w:tcPr>
            <w:tcW w:w="8977" w:type="dxa"/>
          </w:tcPr>
          <w:p w14:paraId="47C12DBD" w14:textId="77777777" w:rsidR="009C2732" w:rsidRDefault="009C2732" w:rsidP="00814F54">
            <w:pPr>
              <w:jc w:val="both"/>
            </w:pPr>
          </w:p>
          <w:p w14:paraId="59047949" w14:textId="77777777" w:rsidR="00ED0A60" w:rsidRDefault="00ED0A60" w:rsidP="00814F54">
            <w:pPr>
              <w:jc w:val="both"/>
              <w:rPr>
                <w:rFonts w:cs="Arial"/>
                <w:b/>
                <w:bCs/>
                <w:sz w:val="24"/>
                <w:szCs w:val="24"/>
              </w:rPr>
            </w:pPr>
            <w:r w:rsidRPr="00ED0A60">
              <w:rPr>
                <w:rFonts w:cs="Arial"/>
                <w:b/>
                <w:bCs/>
                <w:sz w:val="24"/>
                <w:szCs w:val="24"/>
              </w:rPr>
              <w:t>NORMAS QUE OTORGAN COMPETENCIA PARA LA EXPEDICIÓN DEL ACTO</w:t>
            </w:r>
            <w:r>
              <w:rPr>
                <w:rFonts w:cs="Arial"/>
                <w:b/>
                <w:bCs/>
                <w:sz w:val="24"/>
                <w:szCs w:val="24"/>
              </w:rPr>
              <w:t>:</w:t>
            </w:r>
          </w:p>
          <w:p w14:paraId="1BADC641" w14:textId="77777777" w:rsidR="00C143E8" w:rsidRDefault="00C143E8" w:rsidP="00166ABD">
            <w:pPr>
              <w:ind w:left="720"/>
              <w:jc w:val="both"/>
              <w:rPr>
                <w:i/>
                <w:sz w:val="22"/>
                <w:szCs w:val="22"/>
              </w:rPr>
            </w:pPr>
          </w:p>
          <w:p w14:paraId="749B7231" w14:textId="2A821589" w:rsidR="00A27B5D" w:rsidRPr="00B6423C" w:rsidRDefault="00474C7B" w:rsidP="00C16770">
            <w:pPr>
              <w:jc w:val="both"/>
              <w:rPr>
                <w:color w:val="FF0000"/>
                <w:sz w:val="24"/>
                <w:szCs w:val="24"/>
              </w:rPr>
            </w:pPr>
            <w:r>
              <w:rPr>
                <w:sz w:val="24"/>
                <w:szCs w:val="24"/>
              </w:rPr>
              <w:t xml:space="preserve">Literal F) del artículo 12 del </w:t>
            </w:r>
            <w:r w:rsidRPr="00EC5DBC">
              <w:rPr>
                <w:sz w:val="24"/>
                <w:szCs w:val="24"/>
              </w:rPr>
              <w:t>Decreto 1454 de 1998,</w:t>
            </w:r>
            <w:r>
              <w:rPr>
                <w:sz w:val="24"/>
                <w:szCs w:val="24"/>
              </w:rPr>
              <w:t xml:space="preserve"> por medio del cual se establecen los Estatutos del Fondo Nacional del Ahorro, el cual establece como función de la J</w:t>
            </w:r>
            <w:r w:rsidRPr="00C41D86">
              <w:rPr>
                <w:color w:val="000000" w:themeColor="text1"/>
                <w:sz w:val="24"/>
                <w:szCs w:val="24"/>
              </w:rPr>
              <w:t>unta Directiva de la Entidad</w:t>
            </w:r>
            <w:r w:rsidR="001012C3" w:rsidRPr="00C41D86">
              <w:rPr>
                <w:color w:val="000000" w:themeColor="text1"/>
                <w:sz w:val="24"/>
                <w:szCs w:val="24"/>
              </w:rPr>
              <w:t>, entre otras,</w:t>
            </w:r>
            <w:r w:rsidRPr="00C41D86">
              <w:rPr>
                <w:color w:val="000000" w:themeColor="text1"/>
                <w:sz w:val="24"/>
                <w:szCs w:val="24"/>
              </w:rPr>
              <w:t xml:space="preserve"> </w:t>
            </w:r>
            <w:r w:rsidR="00B6423C" w:rsidRPr="00C41D86">
              <w:rPr>
                <w:color w:val="000000" w:themeColor="text1"/>
                <w:sz w:val="24"/>
                <w:szCs w:val="24"/>
              </w:rPr>
              <w:t>expedir el reglamento de Ahorro Voluntario.</w:t>
            </w:r>
          </w:p>
          <w:p w14:paraId="0A78C60E" w14:textId="77777777" w:rsidR="00C16770" w:rsidRPr="00F32BF4" w:rsidRDefault="00C16770" w:rsidP="00C16770">
            <w:pPr>
              <w:jc w:val="both"/>
            </w:pPr>
          </w:p>
        </w:tc>
      </w:tr>
      <w:tr w:rsidR="00FF1E8D" w14:paraId="6E476576" w14:textId="77777777" w:rsidTr="009C2732">
        <w:trPr>
          <w:trHeight w:val="527"/>
        </w:trPr>
        <w:tc>
          <w:tcPr>
            <w:tcW w:w="8977" w:type="dxa"/>
          </w:tcPr>
          <w:p w14:paraId="3C7BD2A0" w14:textId="77777777" w:rsidR="00A27B5D" w:rsidRDefault="00A27B5D" w:rsidP="00F32BF4">
            <w:pPr>
              <w:jc w:val="both"/>
              <w:rPr>
                <w:rFonts w:cs="Arial"/>
                <w:b/>
                <w:bCs/>
                <w:sz w:val="24"/>
                <w:szCs w:val="24"/>
              </w:rPr>
            </w:pPr>
          </w:p>
          <w:p w14:paraId="754C2275" w14:textId="77777777" w:rsidR="00740DF4" w:rsidRDefault="00474C7B" w:rsidP="00F32BF4">
            <w:pPr>
              <w:jc w:val="both"/>
              <w:rPr>
                <w:rFonts w:cs="Arial"/>
                <w:b/>
                <w:bCs/>
                <w:sz w:val="24"/>
                <w:szCs w:val="24"/>
              </w:rPr>
            </w:pPr>
            <w:r w:rsidRPr="00A57862">
              <w:rPr>
                <w:rFonts w:cs="Arial"/>
                <w:b/>
                <w:bCs/>
                <w:sz w:val="24"/>
                <w:szCs w:val="24"/>
              </w:rPr>
              <w:t>VIGENCIA DE LA NORMA REGLAMENTADA O DESARROLLADA</w:t>
            </w:r>
            <w:r>
              <w:rPr>
                <w:rFonts w:cs="Arial"/>
                <w:b/>
                <w:bCs/>
                <w:sz w:val="24"/>
                <w:szCs w:val="24"/>
              </w:rPr>
              <w:t>.</w:t>
            </w:r>
          </w:p>
          <w:p w14:paraId="04D2D6A6" w14:textId="77777777" w:rsidR="00474C7B" w:rsidRDefault="00474C7B" w:rsidP="00F32BF4">
            <w:pPr>
              <w:jc w:val="both"/>
              <w:rPr>
                <w:rFonts w:cs="Arial"/>
                <w:b/>
                <w:bCs/>
                <w:sz w:val="24"/>
                <w:szCs w:val="24"/>
              </w:rPr>
            </w:pPr>
          </w:p>
          <w:p w14:paraId="50267445" w14:textId="1FC71A8D" w:rsidR="00A3639C" w:rsidRPr="00A57862" w:rsidRDefault="00A3639C" w:rsidP="009D04F6">
            <w:pPr>
              <w:jc w:val="both"/>
              <w:rPr>
                <w:b/>
              </w:rPr>
            </w:pPr>
            <w:r w:rsidRPr="00A3639C">
              <w:rPr>
                <w:rFonts w:cs="Arial"/>
                <w:bCs/>
                <w:sz w:val="24"/>
                <w:szCs w:val="24"/>
              </w:rPr>
              <w:t xml:space="preserve">La norma empieza a regir una vez se cuente con la aprobación por parte de la Superintendencia Financiera de Colombia </w:t>
            </w:r>
          </w:p>
        </w:tc>
      </w:tr>
      <w:tr w:rsidR="00FF1E8D" w14:paraId="23C49351" w14:textId="77777777" w:rsidTr="009C2732">
        <w:trPr>
          <w:trHeight w:val="1085"/>
        </w:trPr>
        <w:tc>
          <w:tcPr>
            <w:tcW w:w="8977" w:type="dxa"/>
          </w:tcPr>
          <w:p w14:paraId="440C5D5F" w14:textId="77777777" w:rsidR="00A27B5D" w:rsidRDefault="00A27B5D" w:rsidP="00814F54">
            <w:pPr>
              <w:jc w:val="both"/>
              <w:rPr>
                <w:rFonts w:cs="Arial"/>
                <w:b/>
                <w:bCs/>
                <w:sz w:val="24"/>
                <w:szCs w:val="24"/>
              </w:rPr>
            </w:pPr>
          </w:p>
          <w:p w14:paraId="2966E8F1" w14:textId="77777777" w:rsidR="00211908" w:rsidRDefault="00474C7B" w:rsidP="00814F54">
            <w:pPr>
              <w:jc w:val="both"/>
              <w:rPr>
                <w:rFonts w:cs="Arial"/>
                <w:b/>
                <w:bCs/>
                <w:sz w:val="24"/>
                <w:szCs w:val="24"/>
              </w:rPr>
            </w:pPr>
            <w:r w:rsidRPr="0009232C">
              <w:rPr>
                <w:rFonts w:cs="Arial"/>
                <w:b/>
                <w:bCs/>
                <w:sz w:val="24"/>
                <w:szCs w:val="24"/>
              </w:rPr>
              <w:t>DISPOSICIONES DEROGADAS, SUBROGADAS, MODIFICADAS, ADICIONADAS O SUSTITUIDAS</w:t>
            </w:r>
            <w:r w:rsidR="004F7BFB">
              <w:rPr>
                <w:rFonts w:cs="Arial"/>
                <w:b/>
                <w:bCs/>
                <w:sz w:val="24"/>
                <w:szCs w:val="24"/>
              </w:rPr>
              <w:t xml:space="preserve">. </w:t>
            </w:r>
          </w:p>
          <w:p w14:paraId="6C0340D0" w14:textId="77777777" w:rsidR="007D1360" w:rsidRDefault="007D1360" w:rsidP="00814F54">
            <w:pPr>
              <w:jc w:val="both"/>
              <w:rPr>
                <w:rFonts w:cs="Arial"/>
                <w:b/>
                <w:bCs/>
                <w:sz w:val="24"/>
                <w:szCs w:val="24"/>
              </w:rPr>
            </w:pPr>
          </w:p>
          <w:p w14:paraId="53DA4E8B" w14:textId="24D72FB1" w:rsidR="00B70C51" w:rsidRDefault="003461A8" w:rsidP="0029342C">
            <w:pPr>
              <w:jc w:val="both"/>
              <w:rPr>
                <w:rFonts w:cs="Arial"/>
                <w:iCs/>
                <w:sz w:val="24"/>
                <w:szCs w:val="24"/>
              </w:rPr>
            </w:pPr>
            <w:r>
              <w:rPr>
                <w:rFonts w:cs="Arial"/>
                <w:bCs/>
                <w:sz w:val="24"/>
                <w:szCs w:val="24"/>
              </w:rPr>
              <w:t xml:space="preserve">La nueva disposición </w:t>
            </w:r>
            <w:proofErr w:type="spellStart"/>
            <w:r w:rsidR="009D04F6">
              <w:rPr>
                <w:rFonts w:cs="Arial"/>
                <w:bCs/>
                <w:sz w:val="24"/>
                <w:szCs w:val="24"/>
              </w:rPr>
              <w:t>adiciona</w:t>
            </w:r>
            <w:proofErr w:type="spellEnd"/>
            <w:r w:rsidR="009D04F6">
              <w:rPr>
                <w:rFonts w:cs="Arial"/>
                <w:bCs/>
                <w:sz w:val="24"/>
                <w:szCs w:val="24"/>
              </w:rPr>
              <w:t xml:space="preserve"> </w:t>
            </w:r>
            <w:r>
              <w:rPr>
                <w:rFonts w:cs="Arial"/>
                <w:bCs/>
                <w:sz w:val="24"/>
                <w:szCs w:val="24"/>
              </w:rPr>
              <w:t>e</w:t>
            </w:r>
            <w:r w:rsidR="00017D04" w:rsidRPr="0029342C">
              <w:rPr>
                <w:rFonts w:cs="Arial"/>
                <w:bCs/>
                <w:sz w:val="24"/>
                <w:szCs w:val="24"/>
              </w:rPr>
              <w:t>l</w:t>
            </w:r>
            <w:r w:rsidR="009D04F6">
              <w:rPr>
                <w:rFonts w:cs="Arial"/>
                <w:bCs/>
                <w:sz w:val="24"/>
                <w:szCs w:val="24"/>
              </w:rPr>
              <w:t xml:space="preserve"> Reglamento de Ahorro Voluntario Contractual V 8 adoptado por </w:t>
            </w:r>
            <w:proofErr w:type="gramStart"/>
            <w:r w:rsidR="009D04F6">
              <w:rPr>
                <w:rFonts w:cs="Arial"/>
                <w:bCs/>
                <w:sz w:val="24"/>
                <w:szCs w:val="24"/>
              </w:rPr>
              <w:t xml:space="preserve">el </w:t>
            </w:r>
            <w:r w:rsidR="00532202" w:rsidRPr="00463FD9">
              <w:rPr>
                <w:rFonts w:cs="Arial"/>
              </w:rPr>
              <w:t xml:space="preserve"> </w:t>
            </w:r>
            <w:r w:rsidR="00532202" w:rsidRPr="00020929">
              <w:rPr>
                <w:rFonts w:cs="Arial"/>
                <w:bCs/>
                <w:color w:val="000000" w:themeColor="text1"/>
                <w:sz w:val="24"/>
                <w:szCs w:val="24"/>
              </w:rPr>
              <w:t>Acuerdo</w:t>
            </w:r>
            <w:proofErr w:type="gramEnd"/>
            <w:r w:rsidR="00096B3F">
              <w:rPr>
                <w:rFonts w:cs="Arial"/>
                <w:bCs/>
                <w:color w:val="000000" w:themeColor="text1"/>
                <w:sz w:val="24"/>
                <w:szCs w:val="24"/>
              </w:rPr>
              <w:t xml:space="preserve"> 2</w:t>
            </w:r>
            <w:r w:rsidR="005865E3">
              <w:rPr>
                <w:rFonts w:cs="Arial"/>
                <w:bCs/>
                <w:color w:val="000000" w:themeColor="text1"/>
                <w:sz w:val="24"/>
                <w:szCs w:val="24"/>
              </w:rPr>
              <w:t>422</w:t>
            </w:r>
            <w:r w:rsidR="00096B3F">
              <w:rPr>
                <w:rFonts w:cs="Arial"/>
                <w:bCs/>
                <w:color w:val="000000" w:themeColor="text1"/>
                <w:sz w:val="24"/>
                <w:szCs w:val="24"/>
              </w:rPr>
              <w:t xml:space="preserve"> de 20</w:t>
            </w:r>
            <w:r w:rsidR="005865E3">
              <w:rPr>
                <w:rFonts w:cs="Arial"/>
                <w:bCs/>
                <w:color w:val="000000" w:themeColor="text1"/>
                <w:sz w:val="24"/>
                <w:szCs w:val="24"/>
              </w:rPr>
              <w:t>21</w:t>
            </w:r>
            <w:r w:rsidR="00A960FC" w:rsidRPr="00020929">
              <w:rPr>
                <w:rFonts w:cs="Arial"/>
                <w:iCs/>
                <w:color w:val="000000" w:themeColor="text1"/>
                <w:sz w:val="24"/>
                <w:szCs w:val="24"/>
              </w:rPr>
              <w:t>,</w:t>
            </w:r>
            <w:r w:rsidR="00474C7B" w:rsidRPr="00020929">
              <w:rPr>
                <w:rFonts w:cs="Arial"/>
                <w:iCs/>
                <w:color w:val="000000" w:themeColor="text1"/>
                <w:sz w:val="24"/>
                <w:szCs w:val="24"/>
              </w:rPr>
              <w:t xml:space="preserve"> </w:t>
            </w:r>
            <w:r w:rsidR="009D04F6">
              <w:rPr>
                <w:rFonts w:cs="Arial"/>
                <w:iCs/>
                <w:color w:val="000000" w:themeColor="text1"/>
                <w:sz w:val="24"/>
                <w:szCs w:val="24"/>
              </w:rPr>
              <w:t xml:space="preserve">y la V 7 del </w:t>
            </w:r>
            <w:r w:rsidR="00474C7B">
              <w:rPr>
                <w:rFonts w:cs="Arial"/>
                <w:iCs/>
                <w:sz w:val="24"/>
                <w:szCs w:val="24"/>
              </w:rPr>
              <w:t xml:space="preserve">Reglamento de </w:t>
            </w:r>
            <w:r w:rsidR="00C16770">
              <w:rPr>
                <w:rFonts w:cs="Arial"/>
                <w:iCs/>
                <w:sz w:val="24"/>
                <w:szCs w:val="24"/>
              </w:rPr>
              <w:t>Ahorro Voluntario Contractual AVC</w:t>
            </w:r>
            <w:r w:rsidR="009D04F6">
              <w:rPr>
                <w:rFonts w:cs="Arial"/>
                <w:iCs/>
                <w:sz w:val="24"/>
                <w:szCs w:val="24"/>
              </w:rPr>
              <w:t xml:space="preserve"> </w:t>
            </w:r>
            <w:r w:rsidR="00576D4E">
              <w:rPr>
                <w:rFonts w:cs="Arial"/>
                <w:iCs/>
                <w:sz w:val="24"/>
                <w:szCs w:val="24"/>
              </w:rPr>
              <w:t>adoptada por el</w:t>
            </w:r>
            <w:r w:rsidR="009D04F6">
              <w:rPr>
                <w:rFonts w:cs="Arial"/>
                <w:iCs/>
                <w:sz w:val="24"/>
                <w:szCs w:val="24"/>
              </w:rPr>
              <w:t xml:space="preserve"> Acuerdo 2186 de 2017, la cual </w:t>
            </w:r>
            <w:proofErr w:type="spellStart"/>
            <w:r w:rsidR="009D04F6">
              <w:rPr>
                <w:rFonts w:cs="Arial"/>
                <w:iCs/>
                <w:sz w:val="24"/>
                <w:szCs w:val="24"/>
              </w:rPr>
              <w:t>esta</w:t>
            </w:r>
            <w:proofErr w:type="spellEnd"/>
            <w:r w:rsidR="009D04F6">
              <w:rPr>
                <w:rFonts w:cs="Arial"/>
                <w:iCs/>
                <w:sz w:val="24"/>
                <w:szCs w:val="24"/>
              </w:rPr>
              <w:t xml:space="preserve"> vigente hasta tanto estén los desarrollo tecnológico que permitan la entrada en vigencia de la citada V 8</w:t>
            </w:r>
            <w:r w:rsidR="00C16770">
              <w:rPr>
                <w:rFonts w:cs="Arial"/>
                <w:iCs/>
                <w:sz w:val="24"/>
                <w:szCs w:val="24"/>
              </w:rPr>
              <w:t>.</w:t>
            </w:r>
          </w:p>
          <w:p w14:paraId="79040262" w14:textId="77777777" w:rsidR="00B70C51" w:rsidRDefault="00B70C51" w:rsidP="0029342C">
            <w:pPr>
              <w:jc w:val="both"/>
              <w:rPr>
                <w:rFonts w:cs="Arial"/>
                <w:iCs/>
                <w:sz w:val="24"/>
                <w:szCs w:val="24"/>
              </w:rPr>
            </w:pPr>
          </w:p>
          <w:p w14:paraId="29DC6C47" w14:textId="77777777" w:rsidR="00B70C51" w:rsidRDefault="00B70C51" w:rsidP="0029342C">
            <w:pPr>
              <w:jc w:val="both"/>
              <w:rPr>
                <w:rFonts w:cs="Arial"/>
                <w:iCs/>
                <w:sz w:val="24"/>
                <w:szCs w:val="24"/>
              </w:rPr>
            </w:pPr>
          </w:p>
          <w:p w14:paraId="0832B13E" w14:textId="77777777" w:rsidR="00B70C51" w:rsidRDefault="00B70C51" w:rsidP="0029342C">
            <w:pPr>
              <w:jc w:val="both"/>
              <w:rPr>
                <w:rFonts w:cs="Arial"/>
                <w:iCs/>
                <w:sz w:val="24"/>
                <w:szCs w:val="24"/>
              </w:rPr>
            </w:pPr>
          </w:p>
          <w:p w14:paraId="1BC65C03" w14:textId="77777777" w:rsidR="0029342C" w:rsidRPr="0009232C" w:rsidRDefault="0029342C" w:rsidP="0029342C">
            <w:pPr>
              <w:jc w:val="both"/>
              <w:rPr>
                <w:b/>
              </w:rPr>
            </w:pPr>
          </w:p>
        </w:tc>
      </w:tr>
      <w:tr w:rsidR="00A56AE8" w14:paraId="6267B388" w14:textId="77777777" w:rsidTr="00D925FE">
        <w:trPr>
          <w:trHeight w:val="1692"/>
        </w:trPr>
        <w:tc>
          <w:tcPr>
            <w:tcW w:w="8977" w:type="dxa"/>
          </w:tcPr>
          <w:p w14:paraId="4754550E" w14:textId="77777777" w:rsidR="00A27B5D" w:rsidRDefault="00A27B5D" w:rsidP="00814F54">
            <w:pPr>
              <w:jc w:val="both"/>
              <w:rPr>
                <w:rFonts w:cs="Arial"/>
                <w:b/>
                <w:sz w:val="24"/>
                <w:szCs w:val="24"/>
                <w:lang w:val="es-CO"/>
              </w:rPr>
            </w:pPr>
          </w:p>
          <w:p w14:paraId="094FD0A2" w14:textId="77777777" w:rsidR="000845D5" w:rsidRDefault="00A27B5D" w:rsidP="00814F54">
            <w:pPr>
              <w:jc w:val="both"/>
              <w:rPr>
                <w:rFonts w:cs="Arial"/>
                <w:b/>
                <w:sz w:val="24"/>
                <w:szCs w:val="24"/>
                <w:lang w:val="es-CO"/>
              </w:rPr>
            </w:pPr>
            <w:r w:rsidRPr="008A563D">
              <w:rPr>
                <w:rFonts w:cs="Arial"/>
                <w:b/>
                <w:sz w:val="24"/>
                <w:szCs w:val="24"/>
                <w:lang w:val="es-CO"/>
              </w:rPr>
              <w:t>A</w:t>
            </w:r>
            <w:r>
              <w:rPr>
                <w:rFonts w:cs="Arial"/>
                <w:b/>
                <w:sz w:val="24"/>
                <w:szCs w:val="24"/>
                <w:lang w:val="es-CO"/>
              </w:rPr>
              <w:t xml:space="preserve">NTECEDENTES Y RAZONES DE OPORTUNIDAD Y CONVENIENCIA QUE JUSTIFICAN LA EXPEDICIÓN DEL PROYECTO:  </w:t>
            </w:r>
          </w:p>
          <w:p w14:paraId="56038275" w14:textId="77777777" w:rsidR="00ED0A60" w:rsidRDefault="00ED0A60" w:rsidP="00ED0A60">
            <w:pPr>
              <w:ind w:right="51"/>
              <w:jc w:val="both"/>
              <w:rPr>
                <w:b/>
                <w:sz w:val="24"/>
                <w:szCs w:val="24"/>
                <w:highlight w:val="red"/>
              </w:rPr>
            </w:pPr>
          </w:p>
          <w:p w14:paraId="1A70464E" w14:textId="35D8016F" w:rsidR="008263BC" w:rsidRPr="008263BC" w:rsidRDefault="008263BC" w:rsidP="008263BC">
            <w:pPr>
              <w:jc w:val="both"/>
              <w:rPr>
                <w:rFonts w:cs="Arial"/>
                <w:sz w:val="24"/>
                <w:szCs w:val="24"/>
                <w:lang w:val="es-CO"/>
              </w:rPr>
            </w:pPr>
            <w:r>
              <w:rPr>
                <w:rFonts w:cs="Arial"/>
                <w:sz w:val="24"/>
                <w:szCs w:val="24"/>
                <w:lang w:val="es-ES_tradnl"/>
              </w:rPr>
              <w:t>P</w:t>
            </w:r>
            <w:r w:rsidRPr="008263BC">
              <w:rPr>
                <w:rFonts w:cs="Arial"/>
                <w:sz w:val="24"/>
                <w:szCs w:val="24"/>
                <w:lang w:val="es-ES_tradnl"/>
              </w:rPr>
              <w:t xml:space="preserve">or tratarse de </w:t>
            </w:r>
            <w:r w:rsidRPr="008263BC">
              <w:rPr>
                <w:rFonts w:cs="Arial"/>
                <w:sz w:val="24"/>
                <w:szCs w:val="24"/>
                <w:lang w:val="es-CO"/>
              </w:rPr>
              <w:t>cuentas de ahorro voluntario de colombianos residentes en el exterior es necesario cumplir los acuerdos internacionales y las instrucciones de la DIAN relacionados con intercambio de información que involucran este tipo de cuentas para fines tributarios.</w:t>
            </w:r>
          </w:p>
          <w:p w14:paraId="6045F002" w14:textId="77777777" w:rsidR="008263BC" w:rsidRPr="008263BC" w:rsidRDefault="008263BC" w:rsidP="008263BC">
            <w:pPr>
              <w:jc w:val="both"/>
              <w:rPr>
                <w:rFonts w:cs="Arial"/>
                <w:sz w:val="24"/>
                <w:szCs w:val="24"/>
                <w:lang w:val="es-CO"/>
              </w:rPr>
            </w:pPr>
          </w:p>
          <w:p w14:paraId="7615561D" w14:textId="2AB0EE3A" w:rsidR="008263BC" w:rsidRPr="008263BC" w:rsidRDefault="008263BC" w:rsidP="008263BC">
            <w:pPr>
              <w:jc w:val="both"/>
              <w:rPr>
                <w:rFonts w:cs="Arial"/>
                <w:sz w:val="24"/>
                <w:szCs w:val="24"/>
                <w:lang w:val="es-CO"/>
              </w:rPr>
            </w:pPr>
            <w:r>
              <w:rPr>
                <w:rFonts w:cs="Arial"/>
                <w:sz w:val="24"/>
                <w:szCs w:val="24"/>
                <w:lang w:val="es-CO"/>
              </w:rPr>
              <w:t>L</w:t>
            </w:r>
            <w:r w:rsidRPr="008263BC">
              <w:rPr>
                <w:rFonts w:cs="Arial"/>
                <w:sz w:val="24"/>
                <w:szCs w:val="24"/>
                <w:lang w:val="es-CO"/>
              </w:rPr>
              <w:t xml:space="preserve">a Ley 1666 de 2013, aprobó el </w:t>
            </w:r>
            <w:r w:rsidRPr="008263BC">
              <w:rPr>
                <w:rFonts w:cs="Arial"/>
                <w:i/>
                <w:iCs/>
                <w:sz w:val="24"/>
                <w:szCs w:val="24"/>
                <w:lang w:val="es-CO"/>
              </w:rPr>
              <w:t xml:space="preserve">"Acuerdo entre el gobierno de la república de Colombia y el gobierno de los estados unidos de américa para el intercambio de información tributaria" </w:t>
            </w:r>
            <w:r w:rsidRPr="008263BC">
              <w:rPr>
                <w:rFonts w:cs="Arial"/>
                <w:sz w:val="24"/>
                <w:szCs w:val="24"/>
                <w:lang w:val="es-CO"/>
              </w:rPr>
              <w:t>y el Gobierno de la República de Colombia y de los Estados Unidos de América suscribieron el 20 de Mayo de 2015 el “</w:t>
            </w:r>
            <w:r w:rsidRPr="008263BC">
              <w:rPr>
                <w:rFonts w:cs="Arial"/>
                <w:i/>
                <w:iCs/>
                <w:sz w:val="24"/>
                <w:szCs w:val="24"/>
                <w:lang w:val="es-CO"/>
              </w:rPr>
              <w:t>Acuerdo para Mejorar el Cumplimiento Fiscal Internacional e Implementar el Intercambio Automático de Información respecto a la Ley sobre el Cumplimiento Fiscal relativo a Cuentas en el Extranjero(FATCA</w:t>
            </w:r>
            <w:r w:rsidRPr="008263BC">
              <w:rPr>
                <w:rFonts w:cs="Arial"/>
                <w:sz w:val="24"/>
                <w:szCs w:val="24"/>
                <w:lang w:val="es-CO"/>
              </w:rPr>
              <w:t xml:space="preserve">)”. </w:t>
            </w:r>
          </w:p>
          <w:p w14:paraId="2B958B20" w14:textId="77777777" w:rsidR="008263BC" w:rsidRPr="008263BC" w:rsidRDefault="008263BC" w:rsidP="008263BC">
            <w:pPr>
              <w:autoSpaceDE w:val="0"/>
              <w:autoSpaceDN w:val="0"/>
              <w:adjustRightInd w:val="0"/>
              <w:jc w:val="both"/>
              <w:rPr>
                <w:rFonts w:cs="Arial"/>
                <w:sz w:val="24"/>
                <w:szCs w:val="24"/>
                <w:lang w:val="es-CO"/>
              </w:rPr>
            </w:pPr>
          </w:p>
          <w:p w14:paraId="23071661" w14:textId="49BD60FC" w:rsidR="008263BC" w:rsidRPr="008263BC" w:rsidRDefault="008263BC" w:rsidP="008263BC">
            <w:pPr>
              <w:jc w:val="both"/>
              <w:rPr>
                <w:rFonts w:cs="Arial"/>
                <w:i/>
                <w:iCs/>
                <w:sz w:val="24"/>
                <w:szCs w:val="24"/>
                <w:lang w:val="es-CO"/>
              </w:rPr>
            </w:pPr>
            <w:r>
              <w:rPr>
                <w:rFonts w:cs="Arial"/>
                <w:sz w:val="24"/>
                <w:szCs w:val="24"/>
                <w:lang w:val="es-CO"/>
              </w:rPr>
              <w:t>L</w:t>
            </w:r>
            <w:r w:rsidRPr="008263BC">
              <w:rPr>
                <w:rFonts w:cs="Arial"/>
                <w:sz w:val="24"/>
                <w:szCs w:val="24"/>
                <w:lang w:val="es-CO"/>
              </w:rPr>
              <w:t xml:space="preserve">a DIAN expidió la Resolución 060 de  2015, </w:t>
            </w:r>
            <w:r w:rsidRPr="008263BC">
              <w:rPr>
                <w:rFonts w:cs="Arial"/>
                <w:i/>
                <w:iCs/>
                <w:sz w:val="24"/>
                <w:szCs w:val="24"/>
                <w:lang w:val="es-CO"/>
              </w:rPr>
              <w:t>Por la cual se establece para el año gravable 2014 y siguientes, el contenido y características técnicas para la presentación de la información que debe suministrar el grupo de instituciones obligadas a la Dirección de Impuestos y Aduanas Nacionales; para ser intercambiada de conformidad con la Ley 1666 de 2013 y en desarrollo del “Acuerdo entre el Gobierno de la República de Colombia y el Gobierno de los Estados Unidos de América para Mejorar el Cumplimiento Fiscal Internacional e Implementar el Intercambio Automático de Información respecto a la Ley sobre el Cumplimiento Fiscal relativo a Cuentas en el Extranjero (FATCA)”</w:t>
            </w:r>
          </w:p>
          <w:p w14:paraId="61F25337" w14:textId="77777777" w:rsidR="008263BC" w:rsidRPr="008263BC" w:rsidRDefault="008263BC" w:rsidP="008263BC">
            <w:pPr>
              <w:jc w:val="both"/>
              <w:rPr>
                <w:rFonts w:cs="Arial"/>
                <w:sz w:val="24"/>
                <w:szCs w:val="24"/>
                <w:lang w:val="es-CO"/>
              </w:rPr>
            </w:pPr>
          </w:p>
          <w:p w14:paraId="286F45DD" w14:textId="26B9F8B1" w:rsidR="008263BC" w:rsidRPr="008263BC" w:rsidRDefault="008263BC" w:rsidP="008263BC">
            <w:pPr>
              <w:jc w:val="both"/>
              <w:rPr>
                <w:rFonts w:cs="Arial"/>
                <w:sz w:val="24"/>
                <w:szCs w:val="24"/>
                <w:lang w:val="es-CO"/>
              </w:rPr>
            </w:pPr>
            <w:r>
              <w:rPr>
                <w:rFonts w:cs="Arial"/>
                <w:sz w:val="24"/>
                <w:szCs w:val="24"/>
                <w:lang w:val="es-CO"/>
              </w:rPr>
              <w:t>L</w:t>
            </w:r>
            <w:r w:rsidRPr="008263BC">
              <w:rPr>
                <w:rFonts w:cs="Arial"/>
                <w:sz w:val="24"/>
                <w:szCs w:val="24"/>
                <w:lang w:val="es-CO"/>
              </w:rPr>
              <w:t xml:space="preserve">a Ley 1661 de </w:t>
            </w:r>
            <w:proofErr w:type="gramStart"/>
            <w:r w:rsidRPr="008263BC">
              <w:rPr>
                <w:rFonts w:cs="Arial"/>
                <w:sz w:val="24"/>
                <w:szCs w:val="24"/>
                <w:lang w:val="es-CO"/>
              </w:rPr>
              <w:t>2013  aprueba</w:t>
            </w:r>
            <w:proofErr w:type="gramEnd"/>
            <w:r w:rsidRPr="008263BC">
              <w:rPr>
                <w:rFonts w:cs="Arial"/>
                <w:sz w:val="24"/>
                <w:szCs w:val="24"/>
                <w:lang w:val="es-CO"/>
              </w:rPr>
              <w:t xml:space="preserve"> la </w:t>
            </w:r>
            <w:r w:rsidRPr="008263BC">
              <w:rPr>
                <w:rFonts w:cs="Arial"/>
                <w:i/>
                <w:iCs/>
                <w:sz w:val="24"/>
                <w:szCs w:val="24"/>
                <w:lang w:val="es-CO"/>
              </w:rPr>
              <w:t>“Convención sobre Asistencia Administrativa Mutua en Materia Fiscal”</w:t>
            </w:r>
            <w:r w:rsidRPr="008263BC">
              <w:rPr>
                <w:rFonts w:cs="Arial"/>
                <w:sz w:val="24"/>
                <w:szCs w:val="24"/>
                <w:lang w:val="es-CO"/>
              </w:rPr>
              <w:t xml:space="preserve">, hecha por los depositarios, el 1o de junio de 2011 y aprobada por el Consejo de Europa y los países miembros de la Organización para la Cooperación y el Desarrollo Económico (OCDE). </w:t>
            </w:r>
          </w:p>
          <w:p w14:paraId="4FD803CE" w14:textId="77777777" w:rsidR="008263BC" w:rsidRPr="008263BC" w:rsidRDefault="008263BC" w:rsidP="008263BC">
            <w:pPr>
              <w:jc w:val="both"/>
              <w:rPr>
                <w:rFonts w:cs="Arial"/>
                <w:sz w:val="24"/>
                <w:szCs w:val="24"/>
                <w:lang w:val="es-CO"/>
              </w:rPr>
            </w:pPr>
          </w:p>
          <w:p w14:paraId="2D16CB7B" w14:textId="4FA6E945" w:rsidR="008263BC" w:rsidRPr="008263BC" w:rsidRDefault="008263BC" w:rsidP="008263BC">
            <w:pPr>
              <w:jc w:val="both"/>
              <w:rPr>
                <w:rFonts w:cs="Arial"/>
                <w:sz w:val="24"/>
                <w:szCs w:val="24"/>
                <w:lang w:val="es-CO"/>
              </w:rPr>
            </w:pPr>
            <w:r>
              <w:rPr>
                <w:rFonts w:cs="Arial"/>
                <w:sz w:val="24"/>
                <w:szCs w:val="24"/>
                <w:lang w:val="es-CO"/>
              </w:rPr>
              <w:t>L</w:t>
            </w:r>
            <w:r w:rsidRPr="008263BC">
              <w:rPr>
                <w:rFonts w:cs="Arial"/>
                <w:sz w:val="24"/>
                <w:szCs w:val="24"/>
                <w:lang w:val="es-CO"/>
              </w:rPr>
              <w:t xml:space="preserve">a Dian expidió la Resolución 078 de 2020 </w:t>
            </w:r>
            <w:r w:rsidRPr="008263BC">
              <w:rPr>
                <w:rFonts w:cs="Arial"/>
                <w:sz w:val="24"/>
                <w:szCs w:val="24"/>
              </w:rPr>
              <w:t>Por la cual se establece para el año gravable 2020 y siguientes, el contenido, las características técnicas y los plazos para la presentación de la información que deben suministrar las Instituciones Financieras Sujetas a Reportar a la Unidad Administrativa Especial Dirección de Impuestos y Aduanas Nacionales - DIAN de conformidad con la Ley 1661 de 2013 y en cumplimiento de la ³Convenciyn sobre Asistencia Administrativa Mutua en Materia Fiscal ́ en relación con el Intercambio Automático de Información.</w:t>
            </w:r>
          </w:p>
          <w:p w14:paraId="5E88F8C3" w14:textId="77777777" w:rsidR="008263BC" w:rsidRPr="008263BC" w:rsidRDefault="008263BC" w:rsidP="008263BC">
            <w:pPr>
              <w:jc w:val="both"/>
              <w:rPr>
                <w:rFonts w:cs="Arial"/>
                <w:sz w:val="24"/>
                <w:szCs w:val="24"/>
                <w:lang w:val="es-CO"/>
              </w:rPr>
            </w:pPr>
          </w:p>
          <w:p w14:paraId="343560B2" w14:textId="52052C08" w:rsidR="00C00A7D" w:rsidRPr="008263BC" w:rsidRDefault="008263BC" w:rsidP="008263BC">
            <w:pPr>
              <w:pStyle w:val="Textocomentario"/>
              <w:jc w:val="both"/>
              <w:rPr>
                <w:rFonts w:ascii="Arial" w:hAnsi="Arial" w:cs="Arial"/>
                <w:color w:val="000000" w:themeColor="text1"/>
                <w:sz w:val="24"/>
                <w:szCs w:val="24"/>
              </w:rPr>
            </w:pPr>
            <w:r w:rsidRPr="008263BC">
              <w:rPr>
                <w:rFonts w:ascii="Arial" w:hAnsi="Arial" w:cs="Arial"/>
                <w:sz w:val="24"/>
                <w:szCs w:val="24"/>
              </w:rPr>
              <w:t>Que en virtud de las citadas disposiciones se debe exigir a los Colombianos Residentes en el Exterior que se afilien al Fondo Nacional del Ahorro por AVC, documentos adicionales, tales como la auto certificación y el número de identificación tributaria de cada jurisdicción</w:t>
            </w:r>
            <w:r>
              <w:rPr>
                <w:rFonts w:ascii="Arial" w:hAnsi="Arial" w:cs="Arial"/>
                <w:sz w:val="24"/>
                <w:szCs w:val="24"/>
              </w:rPr>
              <w:t xml:space="preserve"> e incluir nuevas causales de terminación del contrato que contemplen esta opción cuando no se de </w:t>
            </w:r>
            <w:r>
              <w:rPr>
                <w:rFonts w:ascii="Arial" w:hAnsi="Arial" w:cs="Arial"/>
                <w:sz w:val="24"/>
                <w:szCs w:val="24"/>
              </w:rPr>
              <w:lastRenderedPageBreak/>
              <w:t>cumplimiento a las referidas disposiciones</w:t>
            </w:r>
            <w:r w:rsidR="00576D4E">
              <w:rPr>
                <w:rFonts w:ascii="Arial" w:hAnsi="Arial" w:cs="Arial"/>
                <w:sz w:val="24"/>
                <w:szCs w:val="24"/>
              </w:rPr>
              <w:t>, por lo que se hace necesario la adición de los reglamentos</w:t>
            </w:r>
            <w:r>
              <w:rPr>
                <w:rFonts w:ascii="Arial" w:hAnsi="Arial" w:cs="Arial"/>
                <w:sz w:val="24"/>
                <w:szCs w:val="24"/>
              </w:rPr>
              <w:t>.</w:t>
            </w:r>
          </w:p>
          <w:p w14:paraId="613FA9F3" w14:textId="22517F9E" w:rsidR="00C16770" w:rsidRPr="00557544" w:rsidRDefault="00C16770" w:rsidP="00C16770">
            <w:pPr>
              <w:suppressLineNumbers/>
              <w:ind w:right="34"/>
              <w:jc w:val="both"/>
            </w:pPr>
          </w:p>
        </w:tc>
      </w:tr>
      <w:tr w:rsidR="00A56AE8" w14:paraId="4815627B" w14:textId="77777777" w:rsidTr="00692C91">
        <w:trPr>
          <w:trHeight w:val="813"/>
        </w:trPr>
        <w:tc>
          <w:tcPr>
            <w:tcW w:w="8977" w:type="dxa"/>
          </w:tcPr>
          <w:p w14:paraId="3F5F4398" w14:textId="77777777" w:rsidR="003B08BF" w:rsidRDefault="003B08BF" w:rsidP="00814F54">
            <w:pPr>
              <w:jc w:val="both"/>
              <w:rPr>
                <w:rFonts w:cs="Arial"/>
                <w:b/>
                <w:sz w:val="24"/>
                <w:szCs w:val="24"/>
              </w:rPr>
            </w:pPr>
          </w:p>
          <w:p w14:paraId="44B0FA3B" w14:textId="4A7B5A32" w:rsidR="005902B8" w:rsidRDefault="004D71E2" w:rsidP="00814F54">
            <w:pPr>
              <w:jc w:val="both"/>
              <w:rPr>
                <w:rFonts w:cs="Arial"/>
                <w:sz w:val="24"/>
                <w:szCs w:val="24"/>
              </w:rPr>
            </w:pPr>
            <w:r>
              <w:rPr>
                <w:rFonts w:cs="Arial"/>
                <w:b/>
                <w:sz w:val="24"/>
                <w:szCs w:val="24"/>
              </w:rPr>
              <w:t>Á</w:t>
            </w:r>
            <w:r w:rsidR="00557544" w:rsidRPr="008A563D">
              <w:rPr>
                <w:rFonts w:cs="Arial"/>
                <w:b/>
                <w:sz w:val="24"/>
                <w:szCs w:val="24"/>
              </w:rPr>
              <w:t>MBITO DE APLICACIÓN DEL RESPECTIVO ACTO Y SUJETO A QUIEN VA DIRIGIDO</w:t>
            </w:r>
            <w:r w:rsidR="00557544">
              <w:rPr>
                <w:rFonts w:cs="Arial"/>
                <w:b/>
                <w:sz w:val="24"/>
                <w:szCs w:val="24"/>
              </w:rPr>
              <w:t>:</w:t>
            </w:r>
            <w:r w:rsidR="004F7BFB">
              <w:rPr>
                <w:rFonts w:cs="Arial"/>
                <w:b/>
                <w:sz w:val="24"/>
                <w:szCs w:val="24"/>
              </w:rPr>
              <w:t xml:space="preserve"> </w:t>
            </w:r>
            <w:r w:rsidR="004F7BFB" w:rsidRPr="004F7BFB">
              <w:rPr>
                <w:rFonts w:cs="Arial"/>
                <w:sz w:val="24"/>
                <w:szCs w:val="24"/>
              </w:rPr>
              <w:t>El proyecto va dirigido a los afiliados</w:t>
            </w:r>
            <w:r w:rsidR="002B4CAC">
              <w:rPr>
                <w:rFonts w:cs="Arial"/>
                <w:sz w:val="24"/>
                <w:szCs w:val="24"/>
              </w:rPr>
              <w:t xml:space="preserve"> por</w:t>
            </w:r>
            <w:r w:rsidR="00C16770">
              <w:rPr>
                <w:rFonts w:cs="Arial"/>
                <w:sz w:val="24"/>
                <w:szCs w:val="24"/>
              </w:rPr>
              <w:t xml:space="preserve"> AVC</w:t>
            </w:r>
            <w:r w:rsidR="002B4CAC">
              <w:rPr>
                <w:rFonts w:cs="Arial"/>
                <w:sz w:val="24"/>
                <w:szCs w:val="24"/>
              </w:rPr>
              <w:t xml:space="preserve"> </w:t>
            </w:r>
            <w:r w:rsidR="00020929">
              <w:rPr>
                <w:rFonts w:cs="Arial"/>
                <w:sz w:val="24"/>
                <w:szCs w:val="24"/>
              </w:rPr>
              <w:t>del</w:t>
            </w:r>
            <w:r w:rsidR="004F7BFB" w:rsidRPr="004F7BFB">
              <w:rPr>
                <w:rFonts w:cs="Arial"/>
                <w:sz w:val="24"/>
                <w:szCs w:val="24"/>
              </w:rPr>
              <w:t xml:space="preserve"> Fondo Nacional del Ahorro</w:t>
            </w:r>
            <w:r w:rsidR="00202777">
              <w:rPr>
                <w:rFonts w:cs="Arial"/>
                <w:sz w:val="24"/>
                <w:szCs w:val="24"/>
              </w:rPr>
              <w:t>.</w:t>
            </w:r>
          </w:p>
          <w:p w14:paraId="547C855F" w14:textId="77777777" w:rsidR="00F32BF4" w:rsidRDefault="00F32BF4" w:rsidP="00814F54">
            <w:pPr>
              <w:jc w:val="both"/>
            </w:pPr>
          </w:p>
        </w:tc>
      </w:tr>
      <w:tr w:rsidR="00A56AE8" w14:paraId="6FCC3630" w14:textId="77777777" w:rsidTr="00692C91">
        <w:trPr>
          <w:trHeight w:val="414"/>
        </w:trPr>
        <w:tc>
          <w:tcPr>
            <w:tcW w:w="8977" w:type="dxa"/>
          </w:tcPr>
          <w:p w14:paraId="776FE1C5" w14:textId="77777777" w:rsidR="003B08BF" w:rsidRDefault="003B08BF" w:rsidP="005531C7">
            <w:pPr>
              <w:pStyle w:val="Ttulo2"/>
              <w:ind w:right="72"/>
              <w:jc w:val="both"/>
              <w:outlineLvl w:val="1"/>
              <w:rPr>
                <w:rFonts w:cs="Arial"/>
                <w:sz w:val="24"/>
                <w:szCs w:val="24"/>
              </w:rPr>
            </w:pPr>
          </w:p>
          <w:p w14:paraId="1A3541A6" w14:textId="77777777" w:rsidR="00211908" w:rsidRDefault="00FD3B2A" w:rsidP="005531C7">
            <w:pPr>
              <w:pStyle w:val="Ttulo2"/>
              <w:ind w:right="72"/>
              <w:jc w:val="both"/>
              <w:outlineLvl w:val="1"/>
              <w:rPr>
                <w:rFonts w:cs="Arial"/>
                <w:b w:val="0"/>
                <w:sz w:val="24"/>
                <w:szCs w:val="24"/>
              </w:rPr>
            </w:pPr>
            <w:r w:rsidRPr="00CD06A4">
              <w:rPr>
                <w:rFonts w:cs="Arial"/>
                <w:sz w:val="24"/>
                <w:szCs w:val="24"/>
              </w:rPr>
              <w:t>VIABILIDAD JURÍDICA</w:t>
            </w:r>
            <w:r>
              <w:rPr>
                <w:rFonts w:cs="Arial"/>
                <w:b w:val="0"/>
                <w:sz w:val="24"/>
                <w:szCs w:val="24"/>
              </w:rPr>
              <w:t xml:space="preserve">: </w:t>
            </w:r>
            <w:r w:rsidR="004611E9">
              <w:rPr>
                <w:rFonts w:cs="Arial"/>
                <w:b w:val="0"/>
                <w:sz w:val="24"/>
                <w:szCs w:val="24"/>
              </w:rPr>
              <w:t>El proyecto cuenta con viabilidad jurídica</w:t>
            </w:r>
            <w:r w:rsidR="00DD7542">
              <w:rPr>
                <w:rFonts w:cs="Arial"/>
                <w:b w:val="0"/>
                <w:sz w:val="24"/>
                <w:szCs w:val="24"/>
              </w:rPr>
              <w:t xml:space="preserve"> impartida por la Oficina Jurídica de la Entidad</w:t>
            </w:r>
            <w:r w:rsidR="005531C7">
              <w:rPr>
                <w:rFonts w:cs="Arial"/>
                <w:b w:val="0"/>
                <w:sz w:val="24"/>
                <w:szCs w:val="24"/>
              </w:rPr>
              <w:t>.</w:t>
            </w:r>
          </w:p>
          <w:p w14:paraId="0824332F" w14:textId="77777777" w:rsidR="005D4E44" w:rsidRPr="005D4E44" w:rsidRDefault="005D4E44" w:rsidP="005D4E44"/>
        </w:tc>
      </w:tr>
      <w:tr w:rsidR="00A56AE8" w14:paraId="65AEC50E" w14:textId="77777777" w:rsidTr="009C2732">
        <w:trPr>
          <w:trHeight w:val="511"/>
        </w:trPr>
        <w:tc>
          <w:tcPr>
            <w:tcW w:w="8977" w:type="dxa"/>
          </w:tcPr>
          <w:p w14:paraId="0847BE69" w14:textId="77777777" w:rsidR="003B08BF" w:rsidRDefault="003B08BF" w:rsidP="003B08BF">
            <w:pPr>
              <w:jc w:val="both"/>
              <w:rPr>
                <w:rFonts w:cs="Arial"/>
                <w:b/>
                <w:sz w:val="24"/>
                <w:szCs w:val="24"/>
              </w:rPr>
            </w:pPr>
          </w:p>
          <w:p w14:paraId="669E65A8" w14:textId="0898848E" w:rsidR="008F2D25" w:rsidRDefault="00AA6BD0" w:rsidP="00096B3F">
            <w:pPr>
              <w:jc w:val="both"/>
            </w:pPr>
            <w:r w:rsidRPr="008A563D">
              <w:rPr>
                <w:rFonts w:cs="Arial"/>
                <w:b/>
                <w:sz w:val="24"/>
                <w:szCs w:val="24"/>
              </w:rPr>
              <w:t>IMPACTO ECONÓMICO</w:t>
            </w:r>
            <w:r w:rsidR="005203A3">
              <w:rPr>
                <w:rFonts w:cs="Arial"/>
                <w:b/>
                <w:sz w:val="24"/>
                <w:szCs w:val="24"/>
              </w:rPr>
              <w:t>:</w:t>
            </w:r>
            <w:r w:rsidR="00D657E3">
              <w:rPr>
                <w:rFonts w:cs="Arial"/>
                <w:b/>
                <w:sz w:val="24"/>
                <w:szCs w:val="24"/>
              </w:rPr>
              <w:t xml:space="preserve"> </w:t>
            </w:r>
            <w:r w:rsidR="00ED31D9">
              <w:rPr>
                <w:rFonts w:cs="Arial"/>
                <w:b/>
                <w:sz w:val="24"/>
                <w:szCs w:val="24"/>
              </w:rPr>
              <w:t xml:space="preserve"> </w:t>
            </w:r>
            <w:r w:rsidR="00096B3F" w:rsidRPr="00096B3F">
              <w:rPr>
                <w:rFonts w:cs="Arial"/>
                <w:bCs/>
                <w:sz w:val="24"/>
                <w:szCs w:val="24"/>
              </w:rPr>
              <w:t>No aplica</w:t>
            </w:r>
          </w:p>
        </w:tc>
      </w:tr>
      <w:tr w:rsidR="00A56AE8" w14:paraId="51EA1592" w14:textId="77777777" w:rsidTr="00692C91">
        <w:trPr>
          <w:trHeight w:val="432"/>
        </w:trPr>
        <w:tc>
          <w:tcPr>
            <w:tcW w:w="8977" w:type="dxa"/>
          </w:tcPr>
          <w:p w14:paraId="7CCAA0EB" w14:textId="77777777" w:rsidR="003B08BF" w:rsidRDefault="003B08BF" w:rsidP="003B08BF">
            <w:pPr>
              <w:jc w:val="both"/>
              <w:rPr>
                <w:rFonts w:cs="Arial"/>
                <w:b/>
                <w:sz w:val="24"/>
                <w:szCs w:val="24"/>
              </w:rPr>
            </w:pPr>
          </w:p>
          <w:p w14:paraId="048C5AB9" w14:textId="55DE86F6" w:rsidR="00D41EE3" w:rsidRDefault="00DC41F0" w:rsidP="003B08BF">
            <w:pPr>
              <w:jc w:val="both"/>
              <w:rPr>
                <w:rFonts w:cs="Arial"/>
                <w:sz w:val="24"/>
                <w:szCs w:val="24"/>
              </w:rPr>
            </w:pPr>
            <w:r>
              <w:rPr>
                <w:rFonts w:cs="Arial"/>
                <w:b/>
                <w:sz w:val="24"/>
                <w:szCs w:val="24"/>
              </w:rPr>
              <w:t xml:space="preserve">DISPONIBILIDAD PRESUPUESTAL. </w:t>
            </w:r>
            <w:r w:rsidR="001D7466">
              <w:rPr>
                <w:rFonts w:cs="Arial"/>
                <w:b/>
                <w:sz w:val="24"/>
                <w:szCs w:val="24"/>
              </w:rPr>
              <w:t xml:space="preserve"> </w:t>
            </w:r>
            <w:r w:rsidR="00D657E3" w:rsidRPr="00255B91">
              <w:rPr>
                <w:rFonts w:cs="Arial"/>
                <w:bCs/>
                <w:color w:val="000000" w:themeColor="text1"/>
                <w:sz w:val="24"/>
                <w:szCs w:val="24"/>
              </w:rPr>
              <w:t>No aplica.</w:t>
            </w:r>
          </w:p>
          <w:p w14:paraId="17812EB8" w14:textId="77777777" w:rsidR="003B08BF" w:rsidRDefault="003B08BF" w:rsidP="003B08BF">
            <w:pPr>
              <w:jc w:val="both"/>
            </w:pPr>
          </w:p>
        </w:tc>
      </w:tr>
      <w:tr w:rsidR="00A56AE8" w14:paraId="41DBCF12" w14:textId="77777777" w:rsidTr="009C2732">
        <w:trPr>
          <w:trHeight w:val="806"/>
        </w:trPr>
        <w:tc>
          <w:tcPr>
            <w:tcW w:w="8977" w:type="dxa"/>
          </w:tcPr>
          <w:p w14:paraId="1C4A5BE1" w14:textId="77777777" w:rsidR="00A56AE8" w:rsidRDefault="00AA6BD0" w:rsidP="00814F54">
            <w:pPr>
              <w:jc w:val="both"/>
              <w:rPr>
                <w:rFonts w:cs="Arial"/>
                <w:b/>
                <w:sz w:val="24"/>
                <w:szCs w:val="24"/>
              </w:rPr>
            </w:pPr>
            <w:r w:rsidRPr="008A563D">
              <w:rPr>
                <w:rFonts w:cs="Arial"/>
                <w:b/>
                <w:sz w:val="24"/>
                <w:szCs w:val="24"/>
              </w:rPr>
              <w:t>IMPACTO MEDIOAMBIENTAL O SOBRE EL PATRIMONIO CULTURAL DE LA NACIÓN</w:t>
            </w:r>
            <w:r w:rsidR="0021642F">
              <w:rPr>
                <w:rFonts w:cs="Arial"/>
                <w:b/>
                <w:sz w:val="24"/>
                <w:szCs w:val="24"/>
              </w:rPr>
              <w:t xml:space="preserve">. </w:t>
            </w:r>
          </w:p>
          <w:p w14:paraId="6BB39868" w14:textId="77777777" w:rsidR="00D41EE3" w:rsidRDefault="001D7466" w:rsidP="001D7466">
            <w:pPr>
              <w:jc w:val="both"/>
              <w:rPr>
                <w:rFonts w:cs="Arial"/>
                <w:sz w:val="24"/>
                <w:szCs w:val="24"/>
              </w:rPr>
            </w:pPr>
            <w:r>
              <w:rPr>
                <w:rFonts w:cs="Arial"/>
                <w:sz w:val="24"/>
                <w:szCs w:val="24"/>
              </w:rPr>
              <w:t>No aplica</w:t>
            </w:r>
          </w:p>
          <w:p w14:paraId="63EACD88" w14:textId="77777777" w:rsidR="007E53A2" w:rsidRDefault="007E53A2" w:rsidP="001D7466">
            <w:pPr>
              <w:jc w:val="both"/>
            </w:pPr>
          </w:p>
        </w:tc>
      </w:tr>
      <w:tr w:rsidR="00A56AE8" w14:paraId="6EF3A7D5" w14:textId="77777777" w:rsidTr="009C2732">
        <w:trPr>
          <w:trHeight w:val="1085"/>
        </w:trPr>
        <w:tc>
          <w:tcPr>
            <w:tcW w:w="8977" w:type="dxa"/>
          </w:tcPr>
          <w:p w14:paraId="28A3B843" w14:textId="77777777" w:rsidR="00C65C5D" w:rsidRDefault="00AA6BD0" w:rsidP="00C47989">
            <w:pPr>
              <w:jc w:val="both"/>
              <w:rPr>
                <w:rFonts w:cs="Arial"/>
                <w:sz w:val="24"/>
                <w:szCs w:val="24"/>
              </w:rPr>
            </w:pPr>
            <w:r w:rsidRPr="008A563D">
              <w:rPr>
                <w:rFonts w:cs="Arial"/>
                <w:b/>
                <w:sz w:val="24"/>
                <w:szCs w:val="24"/>
              </w:rPr>
              <w:t>CUMPLIMIENTO DE LOS REQUISITOS DE CONSULTA Y PUBLICIDAD</w:t>
            </w:r>
            <w:r w:rsidR="00426971">
              <w:rPr>
                <w:rFonts w:cs="Arial"/>
                <w:sz w:val="24"/>
                <w:szCs w:val="24"/>
              </w:rPr>
              <w:t>.</w:t>
            </w:r>
            <w:r w:rsidRPr="004F7BFB">
              <w:rPr>
                <w:rFonts w:cs="Arial"/>
                <w:sz w:val="24"/>
                <w:szCs w:val="24"/>
              </w:rPr>
              <w:t xml:space="preserve"> </w:t>
            </w:r>
          </w:p>
          <w:p w14:paraId="2BE0AA33" w14:textId="77777777" w:rsidR="00C47989" w:rsidRDefault="00C47989" w:rsidP="00C47989">
            <w:pPr>
              <w:jc w:val="both"/>
              <w:rPr>
                <w:rFonts w:cs="Arial"/>
                <w:sz w:val="24"/>
                <w:szCs w:val="24"/>
              </w:rPr>
            </w:pPr>
          </w:p>
          <w:p w14:paraId="5E75D796" w14:textId="51104142" w:rsidR="00296228" w:rsidRPr="00B26C10" w:rsidRDefault="00296228" w:rsidP="00296228">
            <w:pPr>
              <w:jc w:val="both"/>
              <w:rPr>
                <w:rFonts w:cs="Arial"/>
                <w:sz w:val="24"/>
                <w:szCs w:val="24"/>
              </w:rPr>
            </w:pPr>
            <w:r w:rsidRPr="00B26C10">
              <w:rPr>
                <w:rFonts w:cs="Arial"/>
                <w:sz w:val="24"/>
                <w:szCs w:val="24"/>
              </w:rPr>
              <w:t xml:space="preserve">Se publica para comentarios del público del </w:t>
            </w:r>
            <w:r w:rsidR="00096B3F">
              <w:rPr>
                <w:rFonts w:cs="Arial"/>
                <w:sz w:val="24"/>
                <w:szCs w:val="24"/>
              </w:rPr>
              <w:t>2</w:t>
            </w:r>
            <w:r w:rsidRPr="00B26C10">
              <w:rPr>
                <w:rFonts w:cs="Arial"/>
                <w:sz w:val="24"/>
                <w:szCs w:val="24"/>
              </w:rPr>
              <w:t xml:space="preserve"> al</w:t>
            </w:r>
            <w:r w:rsidR="00B26C10" w:rsidRPr="00B26C10">
              <w:rPr>
                <w:rFonts w:cs="Arial"/>
                <w:sz w:val="24"/>
                <w:szCs w:val="24"/>
              </w:rPr>
              <w:t xml:space="preserve"> </w:t>
            </w:r>
            <w:r w:rsidR="00096B3F">
              <w:rPr>
                <w:rFonts w:cs="Arial"/>
                <w:sz w:val="24"/>
                <w:szCs w:val="24"/>
              </w:rPr>
              <w:t>10</w:t>
            </w:r>
            <w:r w:rsidRPr="00B26C10">
              <w:rPr>
                <w:rFonts w:cs="Arial"/>
                <w:sz w:val="24"/>
                <w:szCs w:val="24"/>
              </w:rPr>
              <w:t xml:space="preserve"> de </w:t>
            </w:r>
            <w:r w:rsidR="00096B3F">
              <w:rPr>
                <w:rFonts w:cs="Arial"/>
                <w:sz w:val="24"/>
                <w:szCs w:val="24"/>
              </w:rPr>
              <w:t>marzo</w:t>
            </w:r>
            <w:r w:rsidRPr="00B26C10">
              <w:rPr>
                <w:rFonts w:cs="Arial"/>
                <w:sz w:val="24"/>
                <w:szCs w:val="24"/>
              </w:rPr>
              <w:t xml:space="preserve"> de 202</w:t>
            </w:r>
            <w:r w:rsidR="00096B3F">
              <w:rPr>
                <w:rFonts w:cs="Arial"/>
                <w:sz w:val="24"/>
                <w:szCs w:val="24"/>
              </w:rPr>
              <w:t>2</w:t>
            </w:r>
            <w:r w:rsidRPr="00B26C10">
              <w:rPr>
                <w:rFonts w:cs="Arial"/>
                <w:sz w:val="24"/>
                <w:szCs w:val="24"/>
              </w:rPr>
              <w:t xml:space="preserve">. </w:t>
            </w:r>
          </w:p>
          <w:p w14:paraId="1E84FD3C" w14:textId="77777777" w:rsidR="00C47989" w:rsidRDefault="00C47989" w:rsidP="00C47989">
            <w:pPr>
              <w:jc w:val="both"/>
            </w:pPr>
          </w:p>
        </w:tc>
      </w:tr>
      <w:tr w:rsidR="00A971D7" w14:paraId="161F838B" w14:textId="77777777" w:rsidTr="009C2732">
        <w:trPr>
          <w:trHeight w:val="701"/>
        </w:trPr>
        <w:tc>
          <w:tcPr>
            <w:tcW w:w="8977" w:type="dxa"/>
          </w:tcPr>
          <w:p w14:paraId="147A89B2" w14:textId="77777777" w:rsidR="000839F7" w:rsidRDefault="000839F7" w:rsidP="00814F54">
            <w:pPr>
              <w:jc w:val="both"/>
              <w:rPr>
                <w:rFonts w:cs="Arial"/>
                <w:b/>
                <w:sz w:val="24"/>
                <w:szCs w:val="24"/>
              </w:rPr>
            </w:pPr>
          </w:p>
          <w:p w14:paraId="3C013A1F" w14:textId="19DAB75C" w:rsidR="009F5EF8" w:rsidRDefault="00D460FA" w:rsidP="00447E7F">
            <w:pPr>
              <w:jc w:val="both"/>
              <w:rPr>
                <w:rFonts w:cs="Arial"/>
                <w:b/>
                <w:sz w:val="24"/>
                <w:szCs w:val="24"/>
              </w:rPr>
            </w:pPr>
            <w:r>
              <w:rPr>
                <w:rFonts w:cs="Arial"/>
                <w:b/>
                <w:sz w:val="24"/>
                <w:szCs w:val="24"/>
              </w:rPr>
              <w:t>COMENTARIOS DE LOS CIUDADANOS</w:t>
            </w:r>
            <w:r w:rsidR="000839F7">
              <w:rPr>
                <w:rFonts w:cs="Arial"/>
                <w:b/>
                <w:sz w:val="24"/>
                <w:szCs w:val="24"/>
              </w:rPr>
              <w:t>:</w:t>
            </w:r>
            <w:r w:rsidR="004F7BFB">
              <w:rPr>
                <w:rFonts w:cs="Arial"/>
                <w:b/>
                <w:sz w:val="24"/>
                <w:szCs w:val="24"/>
              </w:rPr>
              <w:t xml:space="preserve"> </w:t>
            </w:r>
            <w:r w:rsidR="00B26C10">
              <w:rPr>
                <w:rFonts w:cs="Arial"/>
                <w:b/>
                <w:sz w:val="24"/>
                <w:szCs w:val="24"/>
              </w:rPr>
              <w:t xml:space="preserve"> </w:t>
            </w:r>
            <w:r w:rsidR="00096B3F">
              <w:rPr>
                <w:rFonts w:cs="Arial"/>
                <w:b/>
                <w:sz w:val="24"/>
                <w:szCs w:val="24"/>
              </w:rPr>
              <w:t>Pendiente</w:t>
            </w:r>
          </w:p>
        </w:tc>
      </w:tr>
      <w:tr w:rsidR="00A56AE8" w14:paraId="69A0AC68" w14:textId="77777777" w:rsidTr="009C2732">
        <w:trPr>
          <w:trHeight w:val="279"/>
        </w:trPr>
        <w:tc>
          <w:tcPr>
            <w:tcW w:w="8977" w:type="dxa"/>
          </w:tcPr>
          <w:p w14:paraId="52061B86" w14:textId="77777777" w:rsidR="002606A2" w:rsidRDefault="002606A2" w:rsidP="00814F54">
            <w:pPr>
              <w:jc w:val="both"/>
              <w:rPr>
                <w:rFonts w:cs="Arial"/>
                <w:b/>
                <w:sz w:val="24"/>
                <w:szCs w:val="24"/>
              </w:rPr>
            </w:pPr>
          </w:p>
          <w:p w14:paraId="742AB7EE" w14:textId="4460E617" w:rsidR="002606A2" w:rsidRPr="00FB1579" w:rsidRDefault="00AA6BD0" w:rsidP="00C16770">
            <w:pPr>
              <w:jc w:val="both"/>
              <w:rPr>
                <w:rFonts w:cs="Arial"/>
                <w:bCs/>
                <w:sz w:val="24"/>
                <w:szCs w:val="24"/>
              </w:rPr>
            </w:pPr>
            <w:r w:rsidRPr="008A563D">
              <w:rPr>
                <w:rFonts w:cs="Arial"/>
                <w:b/>
                <w:sz w:val="24"/>
                <w:szCs w:val="24"/>
              </w:rPr>
              <w:t>ASPECTOS ADICIONALES IMPORTANTES</w:t>
            </w:r>
            <w:r w:rsidR="00296228">
              <w:rPr>
                <w:rFonts w:cs="Arial"/>
                <w:b/>
                <w:sz w:val="24"/>
                <w:szCs w:val="24"/>
              </w:rPr>
              <w:t>:</w:t>
            </w:r>
            <w:r w:rsidR="00FB1579">
              <w:rPr>
                <w:rFonts w:cs="Arial"/>
                <w:b/>
                <w:sz w:val="24"/>
                <w:szCs w:val="24"/>
              </w:rPr>
              <w:t xml:space="preserve"> </w:t>
            </w:r>
            <w:r w:rsidR="00FB1579" w:rsidRPr="00FB1579">
              <w:rPr>
                <w:rFonts w:cs="Arial"/>
                <w:bCs/>
                <w:sz w:val="24"/>
                <w:szCs w:val="24"/>
              </w:rPr>
              <w:t>El texto de la norma se present</w:t>
            </w:r>
            <w:r w:rsidR="00096B3F">
              <w:rPr>
                <w:rFonts w:cs="Arial"/>
                <w:bCs/>
                <w:sz w:val="24"/>
                <w:szCs w:val="24"/>
              </w:rPr>
              <w:t>ará</w:t>
            </w:r>
            <w:r w:rsidR="00FB1579" w:rsidRPr="00FB1579">
              <w:rPr>
                <w:rFonts w:cs="Arial"/>
                <w:bCs/>
                <w:sz w:val="24"/>
                <w:szCs w:val="24"/>
              </w:rPr>
              <w:t xml:space="preserve"> a consideración de la Superintendencia Financiera de Colombia para su aprobación.</w:t>
            </w:r>
          </w:p>
          <w:p w14:paraId="4F5ACE14" w14:textId="3AB2B085" w:rsidR="00FB1579" w:rsidRDefault="00FB1579" w:rsidP="00C16770">
            <w:pPr>
              <w:jc w:val="both"/>
            </w:pPr>
          </w:p>
        </w:tc>
      </w:tr>
      <w:tr w:rsidR="00163713" w14:paraId="58AE7C5E" w14:textId="77777777" w:rsidTr="000839F7">
        <w:trPr>
          <w:trHeight w:val="872"/>
        </w:trPr>
        <w:tc>
          <w:tcPr>
            <w:tcW w:w="8977" w:type="dxa"/>
          </w:tcPr>
          <w:p w14:paraId="5402F523" w14:textId="77777777" w:rsidR="00163713" w:rsidRDefault="00163713" w:rsidP="00814F54">
            <w:pPr>
              <w:jc w:val="both"/>
              <w:rPr>
                <w:rFonts w:cs="Arial"/>
                <w:b/>
                <w:sz w:val="24"/>
                <w:szCs w:val="24"/>
              </w:rPr>
            </w:pPr>
          </w:p>
          <w:p w14:paraId="10831403" w14:textId="350828A6" w:rsidR="00825584" w:rsidRPr="00096B3F" w:rsidRDefault="00163713" w:rsidP="00825584">
            <w:pPr>
              <w:jc w:val="both"/>
              <w:rPr>
                <w:rFonts w:cs="Arial"/>
                <w:bCs/>
                <w:sz w:val="24"/>
                <w:szCs w:val="24"/>
              </w:rPr>
            </w:pPr>
            <w:r w:rsidRPr="008A563D">
              <w:rPr>
                <w:rFonts w:cs="Arial"/>
                <w:b/>
                <w:sz w:val="24"/>
                <w:szCs w:val="24"/>
              </w:rPr>
              <w:t>IMPACTO QUE TENDRÁ EN LA SEGURIDAD JURÍDICA</w:t>
            </w:r>
            <w:r w:rsidR="00FA5FBB">
              <w:rPr>
                <w:rFonts w:cs="Arial"/>
                <w:b/>
                <w:sz w:val="24"/>
                <w:szCs w:val="24"/>
              </w:rPr>
              <w:t>:</w:t>
            </w:r>
            <w:r w:rsidR="00096B3F">
              <w:rPr>
                <w:rFonts w:cs="Arial"/>
                <w:b/>
                <w:sz w:val="24"/>
                <w:szCs w:val="24"/>
              </w:rPr>
              <w:t xml:space="preserve"> </w:t>
            </w:r>
            <w:r w:rsidR="00096B3F" w:rsidRPr="00096B3F">
              <w:rPr>
                <w:rFonts w:cs="Arial"/>
                <w:bCs/>
                <w:sz w:val="24"/>
                <w:szCs w:val="24"/>
              </w:rPr>
              <w:t>Por tratarse de un producto es un tema dinámico que cambia por las condiciones del mercado y reglamentación aplicable al mismo</w:t>
            </w:r>
            <w:r w:rsidR="00825584" w:rsidRPr="00096B3F">
              <w:rPr>
                <w:rFonts w:cs="Arial"/>
                <w:bCs/>
                <w:sz w:val="24"/>
                <w:szCs w:val="24"/>
              </w:rPr>
              <w:t>.</w:t>
            </w:r>
          </w:p>
          <w:p w14:paraId="0D38D776" w14:textId="77777777" w:rsidR="002B4CAC" w:rsidRPr="00202777" w:rsidRDefault="002B4CAC" w:rsidP="00C16770">
            <w:pPr>
              <w:jc w:val="both"/>
              <w:rPr>
                <w:rFonts w:cs="Arial"/>
                <w:sz w:val="24"/>
                <w:szCs w:val="24"/>
              </w:rPr>
            </w:pPr>
          </w:p>
        </w:tc>
      </w:tr>
    </w:tbl>
    <w:p w14:paraId="38E60C53" w14:textId="77777777" w:rsidR="008516AF" w:rsidRPr="008516AF" w:rsidRDefault="008516AF" w:rsidP="00814F54">
      <w:pPr>
        <w:jc w:val="both"/>
        <w:rPr>
          <w:sz w:val="24"/>
          <w:szCs w:val="24"/>
        </w:rPr>
      </w:pPr>
    </w:p>
    <w:sectPr w:rsidR="008516AF" w:rsidRPr="008516AF" w:rsidSect="00615C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F8726" w14:textId="77777777" w:rsidR="008D5392" w:rsidRDefault="008D5392" w:rsidP="00143CFA">
      <w:r>
        <w:separator/>
      </w:r>
    </w:p>
  </w:endnote>
  <w:endnote w:type="continuationSeparator" w:id="0">
    <w:p w14:paraId="1B559999" w14:textId="77777777" w:rsidR="008D5392" w:rsidRDefault="008D5392"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CFC84" w14:textId="77777777" w:rsidR="008D5392" w:rsidRDefault="008D5392" w:rsidP="00143CFA">
      <w:r>
        <w:separator/>
      </w:r>
    </w:p>
  </w:footnote>
  <w:footnote w:type="continuationSeparator" w:id="0">
    <w:p w14:paraId="4DD57753" w14:textId="77777777" w:rsidR="008D5392" w:rsidRDefault="008D5392"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35B0"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28FD093A" wp14:editId="0E57ABCC">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475FC" w14:textId="77777777" w:rsidR="009C2732" w:rsidRDefault="009C2732">
    <w:pPr>
      <w:pStyle w:val="Encabezado"/>
    </w:pPr>
  </w:p>
  <w:p w14:paraId="60CEFE3D" w14:textId="77777777" w:rsidR="009C2732" w:rsidRDefault="009C2732">
    <w:pPr>
      <w:pStyle w:val="Encabezado"/>
    </w:pPr>
  </w:p>
  <w:p w14:paraId="7FFC651D"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1" w15:restartNumberingAfterBreak="0">
    <w:nsid w:val="11F75E9F"/>
    <w:multiLevelType w:val="hybridMultilevel"/>
    <w:tmpl w:val="A15028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B758E9"/>
    <w:multiLevelType w:val="hybridMultilevel"/>
    <w:tmpl w:val="43D468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A6902EF"/>
    <w:multiLevelType w:val="hybridMultilevel"/>
    <w:tmpl w:val="756077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DFD2E05"/>
    <w:multiLevelType w:val="hybridMultilevel"/>
    <w:tmpl w:val="6974FC32"/>
    <w:lvl w:ilvl="0" w:tplc="8D825806">
      <w:start w:val="1"/>
      <w:numFmt w:val="decimal"/>
      <w:lvlText w:val="%1)"/>
      <w:lvlJc w:val="left"/>
      <w:pPr>
        <w:ind w:left="502" w:hanging="360"/>
      </w:pPr>
      <w:rPr>
        <w:rFonts w:hint="default"/>
        <w:sz w:val="24"/>
        <w:szCs w:val="24"/>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 w15:restartNumberingAfterBreak="0">
    <w:nsid w:val="5DFD0BAF"/>
    <w:multiLevelType w:val="hybridMultilevel"/>
    <w:tmpl w:val="81D65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FAD2B92"/>
    <w:multiLevelType w:val="hybridMultilevel"/>
    <w:tmpl w:val="5F98AC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9FD39CE"/>
    <w:multiLevelType w:val="multilevel"/>
    <w:tmpl w:val="9490DF9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6426C9"/>
    <w:multiLevelType w:val="multilevel"/>
    <w:tmpl w:val="11D0C594"/>
    <w:lvl w:ilvl="0">
      <w:start w:val="16"/>
      <w:numFmt w:val="decimal"/>
      <w:lvlText w:val="%1"/>
      <w:lvlJc w:val="left"/>
      <w:pPr>
        <w:ind w:left="465" w:hanging="465"/>
      </w:pPr>
      <w:rPr>
        <w:rFonts w:hint="default"/>
        <w:b/>
      </w:rPr>
    </w:lvl>
    <w:lvl w:ilvl="1">
      <w:start w:val="1"/>
      <w:numFmt w:val="decimal"/>
      <w:lvlText w:val="%1.%2"/>
      <w:lvlJc w:val="left"/>
      <w:pPr>
        <w:ind w:left="606" w:hanging="46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2"/>
  </w:num>
  <w:num w:numId="3">
    <w:abstractNumId w:val="7"/>
  </w:num>
  <w:num w:numId="4">
    <w:abstractNumId w:val="0"/>
  </w:num>
  <w:num w:numId="5">
    <w:abstractNumId w:val="5"/>
  </w:num>
  <w:num w:numId="6">
    <w:abstractNumId w:val="10"/>
  </w:num>
  <w:num w:numId="7">
    <w:abstractNumId w:val="1"/>
  </w:num>
  <w:num w:numId="8">
    <w:abstractNumId w:val="8"/>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116F9"/>
    <w:rsid w:val="00011B0B"/>
    <w:rsid w:val="000136D2"/>
    <w:rsid w:val="00017D04"/>
    <w:rsid w:val="000203BA"/>
    <w:rsid w:val="00020929"/>
    <w:rsid w:val="00041FE2"/>
    <w:rsid w:val="000520C6"/>
    <w:rsid w:val="00057025"/>
    <w:rsid w:val="00071DE6"/>
    <w:rsid w:val="000839F7"/>
    <w:rsid w:val="000845D5"/>
    <w:rsid w:val="0008483B"/>
    <w:rsid w:val="00086658"/>
    <w:rsid w:val="00086DEF"/>
    <w:rsid w:val="0009232C"/>
    <w:rsid w:val="00096B3F"/>
    <w:rsid w:val="000A36FD"/>
    <w:rsid w:val="000B3D8C"/>
    <w:rsid w:val="000B6E31"/>
    <w:rsid w:val="000D17A1"/>
    <w:rsid w:val="000D24CD"/>
    <w:rsid w:val="000E0AF6"/>
    <w:rsid w:val="000E7642"/>
    <w:rsid w:val="000F4094"/>
    <w:rsid w:val="000F5DFE"/>
    <w:rsid w:val="001012C3"/>
    <w:rsid w:val="0011042A"/>
    <w:rsid w:val="00112E21"/>
    <w:rsid w:val="00120D43"/>
    <w:rsid w:val="00126DC0"/>
    <w:rsid w:val="00143CFA"/>
    <w:rsid w:val="00153288"/>
    <w:rsid w:val="001541D9"/>
    <w:rsid w:val="00163713"/>
    <w:rsid w:val="00166ABD"/>
    <w:rsid w:val="00170742"/>
    <w:rsid w:val="00170BC2"/>
    <w:rsid w:val="0017608B"/>
    <w:rsid w:val="0017772A"/>
    <w:rsid w:val="0018046A"/>
    <w:rsid w:val="001818D4"/>
    <w:rsid w:val="00182D35"/>
    <w:rsid w:val="00187CAC"/>
    <w:rsid w:val="001A57FE"/>
    <w:rsid w:val="001D4736"/>
    <w:rsid w:val="001D7466"/>
    <w:rsid w:val="001E7837"/>
    <w:rsid w:val="001F7234"/>
    <w:rsid w:val="00202777"/>
    <w:rsid w:val="00211908"/>
    <w:rsid w:val="0021642F"/>
    <w:rsid w:val="0022020A"/>
    <w:rsid w:val="0023236C"/>
    <w:rsid w:val="0023348A"/>
    <w:rsid w:val="00234935"/>
    <w:rsid w:val="002349B4"/>
    <w:rsid w:val="00235707"/>
    <w:rsid w:val="00246E1C"/>
    <w:rsid w:val="0025563A"/>
    <w:rsid w:val="00255B91"/>
    <w:rsid w:val="002606A2"/>
    <w:rsid w:val="002734B4"/>
    <w:rsid w:val="00274B0C"/>
    <w:rsid w:val="00274CB3"/>
    <w:rsid w:val="0027710C"/>
    <w:rsid w:val="00282A1A"/>
    <w:rsid w:val="00283BEE"/>
    <w:rsid w:val="0029342C"/>
    <w:rsid w:val="00294B78"/>
    <w:rsid w:val="00296228"/>
    <w:rsid w:val="00296C8F"/>
    <w:rsid w:val="002A6F95"/>
    <w:rsid w:val="002A757F"/>
    <w:rsid w:val="002B4CAC"/>
    <w:rsid w:val="002B5B11"/>
    <w:rsid w:val="002B7543"/>
    <w:rsid w:val="002C00C2"/>
    <w:rsid w:val="002C09F2"/>
    <w:rsid w:val="002F1B64"/>
    <w:rsid w:val="002F5EFD"/>
    <w:rsid w:val="002F6FA6"/>
    <w:rsid w:val="002F7FA6"/>
    <w:rsid w:val="00313707"/>
    <w:rsid w:val="00327E68"/>
    <w:rsid w:val="00333246"/>
    <w:rsid w:val="0033481C"/>
    <w:rsid w:val="00335DCF"/>
    <w:rsid w:val="00335E82"/>
    <w:rsid w:val="003367CE"/>
    <w:rsid w:val="00336E8C"/>
    <w:rsid w:val="00336FB2"/>
    <w:rsid w:val="0033762B"/>
    <w:rsid w:val="00337786"/>
    <w:rsid w:val="00337C71"/>
    <w:rsid w:val="003415E1"/>
    <w:rsid w:val="003461A8"/>
    <w:rsid w:val="0036574C"/>
    <w:rsid w:val="003676FB"/>
    <w:rsid w:val="003A07B5"/>
    <w:rsid w:val="003A568B"/>
    <w:rsid w:val="003B08BF"/>
    <w:rsid w:val="003B180C"/>
    <w:rsid w:val="003E324A"/>
    <w:rsid w:val="003E5126"/>
    <w:rsid w:val="003F56F4"/>
    <w:rsid w:val="004024EB"/>
    <w:rsid w:val="0042403D"/>
    <w:rsid w:val="00426971"/>
    <w:rsid w:val="00441FFA"/>
    <w:rsid w:val="00444EED"/>
    <w:rsid w:val="00447E7F"/>
    <w:rsid w:val="004503B9"/>
    <w:rsid w:val="004611E9"/>
    <w:rsid w:val="00472E44"/>
    <w:rsid w:val="00474C7B"/>
    <w:rsid w:val="00487C74"/>
    <w:rsid w:val="004974DF"/>
    <w:rsid w:val="004A11DB"/>
    <w:rsid w:val="004B06FD"/>
    <w:rsid w:val="004D2607"/>
    <w:rsid w:val="004D71E2"/>
    <w:rsid w:val="004D74E5"/>
    <w:rsid w:val="004E7A7F"/>
    <w:rsid w:val="004F2D10"/>
    <w:rsid w:val="004F4887"/>
    <w:rsid w:val="004F79F8"/>
    <w:rsid w:val="004F7BFB"/>
    <w:rsid w:val="0051785D"/>
    <w:rsid w:val="005203A3"/>
    <w:rsid w:val="00532202"/>
    <w:rsid w:val="005379AB"/>
    <w:rsid w:val="00542687"/>
    <w:rsid w:val="005531C7"/>
    <w:rsid w:val="005539C3"/>
    <w:rsid w:val="00557544"/>
    <w:rsid w:val="00572B06"/>
    <w:rsid w:val="00576D4E"/>
    <w:rsid w:val="005779A4"/>
    <w:rsid w:val="0058620E"/>
    <w:rsid w:val="005865E3"/>
    <w:rsid w:val="005902B8"/>
    <w:rsid w:val="00592753"/>
    <w:rsid w:val="00592CAA"/>
    <w:rsid w:val="005A6873"/>
    <w:rsid w:val="005A7CE8"/>
    <w:rsid w:val="005B341E"/>
    <w:rsid w:val="005C48CC"/>
    <w:rsid w:val="005D01B4"/>
    <w:rsid w:val="005D2ED8"/>
    <w:rsid w:val="005D4E44"/>
    <w:rsid w:val="005F1B4D"/>
    <w:rsid w:val="00605095"/>
    <w:rsid w:val="00615C52"/>
    <w:rsid w:val="0063656C"/>
    <w:rsid w:val="0063729D"/>
    <w:rsid w:val="00645625"/>
    <w:rsid w:val="0065663E"/>
    <w:rsid w:val="006610C9"/>
    <w:rsid w:val="00665105"/>
    <w:rsid w:val="00691602"/>
    <w:rsid w:val="00692C91"/>
    <w:rsid w:val="006948A4"/>
    <w:rsid w:val="006B3A17"/>
    <w:rsid w:val="006B590A"/>
    <w:rsid w:val="006D0611"/>
    <w:rsid w:val="006D26E6"/>
    <w:rsid w:val="006D562F"/>
    <w:rsid w:val="006E0705"/>
    <w:rsid w:val="006E36C4"/>
    <w:rsid w:val="006E3E91"/>
    <w:rsid w:val="006F26C0"/>
    <w:rsid w:val="007048A7"/>
    <w:rsid w:val="00707B66"/>
    <w:rsid w:val="007174AC"/>
    <w:rsid w:val="00721051"/>
    <w:rsid w:val="00722FC7"/>
    <w:rsid w:val="00725341"/>
    <w:rsid w:val="00730061"/>
    <w:rsid w:val="00730E9D"/>
    <w:rsid w:val="00740DF4"/>
    <w:rsid w:val="00741EED"/>
    <w:rsid w:val="00743923"/>
    <w:rsid w:val="007449AB"/>
    <w:rsid w:val="00747C4C"/>
    <w:rsid w:val="0075157D"/>
    <w:rsid w:val="0075562E"/>
    <w:rsid w:val="00772B5A"/>
    <w:rsid w:val="0077692F"/>
    <w:rsid w:val="007809F2"/>
    <w:rsid w:val="00780B81"/>
    <w:rsid w:val="007810D5"/>
    <w:rsid w:val="00782409"/>
    <w:rsid w:val="00783B7F"/>
    <w:rsid w:val="007913FA"/>
    <w:rsid w:val="00793721"/>
    <w:rsid w:val="00795D60"/>
    <w:rsid w:val="00797504"/>
    <w:rsid w:val="00797689"/>
    <w:rsid w:val="007977EC"/>
    <w:rsid w:val="007A35B2"/>
    <w:rsid w:val="007B5CBD"/>
    <w:rsid w:val="007D1360"/>
    <w:rsid w:val="007D2AFD"/>
    <w:rsid w:val="007D5A81"/>
    <w:rsid w:val="007D6EA7"/>
    <w:rsid w:val="007E53A2"/>
    <w:rsid w:val="007F14F5"/>
    <w:rsid w:val="007F58C3"/>
    <w:rsid w:val="00814F54"/>
    <w:rsid w:val="0082182A"/>
    <w:rsid w:val="00825584"/>
    <w:rsid w:val="008263BC"/>
    <w:rsid w:val="00836BC0"/>
    <w:rsid w:val="00845F78"/>
    <w:rsid w:val="008470B4"/>
    <w:rsid w:val="008516AF"/>
    <w:rsid w:val="0086310F"/>
    <w:rsid w:val="00867D98"/>
    <w:rsid w:val="008778FC"/>
    <w:rsid w:val="00891591"/>
    <w:rsid w:val="00893213"/>
    <w:rsid w:val="00895AB6"/>
    <w:rsid w:val="008B2C32"/>
    <w:rsid w:val="008B3C6C"/>
    <w:rsid w:val="008B4EE1"/>
    <w:rsid w:val="008D5392"/>
    <w:rsid w:val="008D59A8"/>
    <w:rsid w:val="008D600D"/>
    <w:rsid w:val="008E1BA1"/>
    <w:rsid w:val="008E24EA"/>
    <w:rsid w:val="008F28CD"/>
    <w:rsid w:val="008F2D25"/>
    <w:rsid w:val="00923782"/>
    <w:rsid w:val="009453CC"/>
    <w:rsid w:val="00964E68"/>
    <w:rsid w:val="00973138"/>
    <w:rsid w:val="00974BC6"/>
    <w:rsid w:val="00985F67"/>
    <w:rsid w:val="009918A3"/>
    <w:rsid w:val="009935DB"/>
    <w:rsid w:val="009943CE"/>
    <w:rsid w:val="009A0DA1"/>
    <w:rsid w:val="009A4994"/>
    <w:rsid w:val="009A6494"/>
    <w:rsid w:val="009B2911"/>
    <w:rsid w:val="009B3D43"/>
    <w:rsid w:val="009B4749"/>
    <w:rsid w:val="009B6931"/>
    <w:rsid w:val="009C2732"/>
    <w:rsid w:val="009C2C35"/>
    <w:rsid w:val="009D04F6"/>
    <w:rsid w:val="009D4DAB"/>
    <w:rsid w:val="009E04A2"/>
    <w:rsid w:val="009F5EF8"/>
    <w:rsid w:val="00A0737C"/>
    <w:rsid w:val="00A1374D"/>
    <w:rsid w:val="00A13EA8"/>
    <w:rsid w:val="00A27B5D"/>
    <w:rsid w:val="00A31A6D"/>
    <w:rsid w:val="00A340EC"/>
    <w:rsid w:val="00A3639C"/>
    <w:rsid w:val="00A40889"/>
    <w:rsid w:val="00A465FA"/>
    <w:rsid w:val="00A51B5E"/>
    <w:rsid w:val="00A56AE8"/>
    <w:rsid w:val="00A57554"/>
    <w:rsid w:val="00A57862"/>
    <w:rsid w:val="00A606B7"/>
    <w:rsid w:val="00A667F2"/>
    <w:rsid w:val="00A66EFE"/>
    <w:rsid w:val="00A67E54"/>
    <w:rsid w:val="00A7277B"/>
    <w:rsid w:val="00A747EB"/>
    <w:rsid w:val="00A74C20"/>
    <w:rsid w:val="00A91563"/>
    <w:rsid w:val="00A960FC"/>
    <w:rsid w:val="00A965D8"/>
    <w:rsid w:val="00A971D7"/>
    <w:rsid w:val="00AA6BD0"/>
    <w:rsid w:val="00AB4E9B"/>
    <w:rsid w:val="00AB64BF"/>
    <w:rsid w:val="00AE2453"/>
    <w:rsid w:val="00B009D3"/>
    <w:rsid w:val="00B033B1"/>
    <w:rsid w:val="00B211D9"/>
    <w:rsid w:val="00B2436C"/>
    <w:rsid w:val="00B26C10"/>
    <w:rsid w:val="00B3070C"/>
    <w:rsid w:val="00B31CD9"/>
    <w:rsid w:val="00B32974"/>
    <w:rsid w:val="00B44160"/>
    <w:rsid w:val="00B6161F"/>
    <w:rsid w:val="00B6423C"/>
    <w:rsid w:val="00B67328"/>
    <w:rsid w:val="00B70BBE"/>
    <w:rsid w:val="00B70C51"/>
    <w:rsid w:val="00B724D5"/>
    <w:rsid w:val="00B80C50"/>
    <w:rsid w:val="00B820DB"/>
    <w:rsid w:val="00B9058E"/>
    <w:rsid w:val="00B95247"/>
    <w:rsid w:val="00B95712"/>
    <w:rsid w:val="00B97361"/>
    <w:rsid w:val="00BD47A3"/>
    <w:rsid w:val="00BE2D29"/>
    <w:rsid w:val="00BE3889"/>
    <w:rsid w:val="00BF524C"/>
    <w:rsid w:val="00C00A7D"/>
    <w:rsid w:val="00C0667D"/>
    <w:rsid w:val="00C0766B"/>
    <w:rsid w:val="00C077BD"/>
    <w:rsid w:val="00C128B5"/>
    <w:rsid w:val="00C143E8"/>
    <w:rsid w:val="00C16770"/>
    <w:rsid w:val="00C168A3"/>
    <w:rsid w:val="00C223EF"/>
    <w:rsid w:val="00C3175A"/>
    <w:rsid w:val="00C3361D"/>
    <w:rsid w:val="00C33D66"/>
    <w:rsid w:val="00C41D86"/>
    <w:rsid w:val="00C44693"/>
    <w:rsid w:val="00C47989"/>
    <w:rsid w:val="00C51C4F"/>
    <w:rsid w:val="00C655DD"/>
    <w:rsid w:val="00C657B1"/>
    <w:rsid w:val="00C6595D"/>
    <w:rsid w:val="00C65BE3"/>
    <w:rsid w:val="00C65C5D"/>
    <w:rsid w:val="00C735BC"/>
    <w:rsid w:val="00C86116"/>
    <w:rsid w:val="00C8656B"/>
    <w:rsid w:val="00C90B58"/>
    <w:rsid w:val="00CA57DD"/>
    <w:rsid w:val="00CA5974"/>
    <w:rsid w:val="00CC2071"/>
    <w:rsid w:val="00CC30A9"/>
    <w:rsid w:val="00CD06A4"/>
    <w:rsid w:val="00CE5BF5"/>
    <w:rsid w:val="00CF462B"/>
    <w:rsid w:val="00D01576"/>
    <w:rsid w:val="00D03EFB"/>
    <w:rsid w:val="00D066E8"/>
    <w:rsid w:val="00D06C61"/>
    <w:rsid w:val="00D11A76"/>
    <w:rsid w:val="00D15257"/>
    <w:rsid w:val="00D155AF"/>
    <w:rsid w:val="00D1719E"/>
    <w:rsid w:val="00D37A3A"/>
    <w:rsid w:val="00D41117"/>
    <w:rsid w:val="00D41EE3"/>
    <w:rsid w:val="00D460FA"/>
    <w:rsid w:val="00D512AD"/>
    <w:rsid w:val="00D51313"/>
    <w:rsid w:val="00D56182"/>
    <w:rsid w:val="00D566E0"/>
    <w:rsid w:val="00D657E3"/>
    <w:rsid w:val="00D6689A"/>
    <w:rsid w:val="00D73B6C"/>
    <w:rsid w:val="00D7791B"/>
    <w:rsid w:val="00D8316D"/>
    <w:rsid w:val="00D925FE"/>
    <w:rsid w:val="00DA0551"/>
    <w:rsid w:val="00DA5DC6"/>
    <w:rsid w:val="00DB3E1E"/>
    <w:rsid w:val="00DC41F0"/>
    <w:rsid w:val="00DD2925"/>
    <w:rsid w:val="00DD3C0C"/>
    <w:rsid w:val="00DD7542"/>
    <w:rsid w:val="00DE192C"/>
    <w:rsid w:val="00DE1D17"/>
    <w:rsid w:val="00DF0547"/>
    <w:rsid w:val="00DF4520"/>
    <w:rsid w:val="00E16591"/>
    <w:rsid w:val="00E30E40"/>
    <w:rsid w:val="00E32C35"/>
    <w:rsid w:val="00E5024A"/>
    <w:rsid w:val="00E54F6B"/>
    <w:rsid w:val="00E564EE"/>
    <w:rsid w:val="00E573DA"/>
    <w:rsid w:val="00E64A8C"/>
    <w:rsid w:val="00E70310"/>
    <w:rsid w:val="00E83833"/>
    <w:rsid w:val="00E87E94"/>
    <w:rsid w:val="00E92FC8"/>
    <w:rsid w:val="00E952F1"/>
    <w:rsid w:val="00EB0159"/>
    <w:rsid w:val="00EC0042"/>
    <w:rsid w:val="00EC5AFF"/>
    <w:rsid w:val="00EC5DBC"/>
    <w:rsid w:val="00EC72CE"/>
    <w:rsid w:val="00EC7DF5"/>
    <w:rsid w:val="00ED0A60"/>
    <w:rsid w:val="00ED193D"/>
    <w:rsid w:val="00ED31D9"/>
    <w:rsid w:val="00ED3D50"/>
    <w:rsid w:val="00ED704A"/>
    <w:rsid w:val="00ED71E6"/>
    <w:rsid w:val="00EE3EC4"/>
    <w:rsid w:val="00EF3539"/>
    <w:rsid w:val="00EF63EC"/>
    <w:rsid w:val="00F002F4"/>
    <w:rsid w:val="00F034E5"/>
    <w:rsid w:val="00F32BF4"/>
    <w:rsid w:val="00F35C25"/>
    <w:rsid w:val="00F44253"/>
    <w:rsid w:val="00F464F7"/>
    <w:rsid w:val="00F6792B"/>
    <w:rsid w:val="00F70628"/>
    <w:rsid w:val="00F83B25"/>
    <w:rsid w:val="00F8648F"/>
    <w:rsid w:val="00F87046"/>
    <w:rsid w:val="00F92E7D"/>
    <w:rsid w:val="00F9786F"/>
    <w:rsid w:val="00FA5FBB"/>
    <w:rsid w:val="00FA6307"/>
    <w:rsid w:val="00FB1579"/>
    <w:rsid w:val="00FB23BF"/>
    <w:rsid w:val="00FB5630"/>
    <w:rsid w:val="00FD3B2A"/>
    <w:rsid w:val="00FE2A71"/>
    <w:rsid w:val="00FE562C"/>
    <w:rsid w:val="00FF066D"/>
    <w:rsid w:val="00FF0BDC"/>
    <w:rsid w:val="00FF1E8D"/>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97083"/>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paragraph" w:styleId="Sinespaciado">
    <w:name w:val="No Spacing"/>
    <w:uiPriority w:val="1"/>
    <w:qFormat/>
    <w:rsid w:val="009B3D43"/>
    <w:pPr>
      <w:spacing w:after="0" w:line="240" w:lineRule="auto"/>
    </w:pPr>
    <w:rPr>
      <w:rFonts w:ascii="Arial" w:eastAsia="Times New Roman" w:hAnsi="Arial" w:cs="Times New Roman"/>
      <w:sz w:val="20"/>
      <w:szCs w:val="20"/>
      <w:lang w:val="es-ES" w:eastAsia="es-ES"/>
    </w:rPr>
  </w:style>
  <w:style w:type="paragraph" w:customStyle="1" w:styleId="CM16">
    <w:name w:val="CM16"/>
    <w:basedOn w:val="Normal"/>
    <w:next w:val="Normal"/>
    <w:uiPriority w:val="99"/>
    <w:rsid w:val="00A27B5D"/>
    <w:pPr>
      <w:autoSpaceDE w:val="0"/>
      <w:autoSpaceDN w:val="0"/>
      <w:adjustRightInd w:val="0"/>
    </w:pPr>
    <w:rPr>
      <w:rFonts w:eastAsiaTheme="minorHAnsi" w:cs="Arial"/>
      <w:sz w:val="24"/>
      <w:szCs w:val="24"/>
      <w:lang w:val="es-CO" w:eastAsia="en-US"/>
    </w:rPr>
  </w:style>
  <w:style w:type="paragraph" w:customStyle="1" w:styleId="Default">
    <w:name w:val="Default"/>
    <w:rsid w:val="00A27B5D"/>
    <w:pPr>
      <w:autoSpaceDE w:val="0"/>
      <w:autoSpaceDN w:val="0"/>
      <w:adjustRightInd w:val="0"/>
      <w:spacing w:after="0" w:line="240" w:lineRule="auto"/>
    </w:pPr>
    <w:rPr>
      <w:rFonts w:ascii="Arial" w:hAnsi="Arial" w:cs="Arial"/>
      <w:color w:val="000000"/>
      <w:sz w:val="24"/>
      <w:szCs w:val="24"/>
      <w:lang w:val="es-CO"/>
    </w:rPr>
  </w:style>
  <w:style w:type="paragraph" w:customStyle="1" w:styleId="CM20">
    <w:name w:val="CM20"/>
    <w:basedOn w:val="Default"/>
    <w:next w:val="Default"/>
    <w:uiPriority w:val="99"/>
    <w:rsid w:val="00A27B5D"/>
    <w:rPr>
      <w:color w:val="auto"/>
    </w:rPr>
  </w:style>
  <w:style w:type="paragraph" w:styleId="Textocomentario">
    <w:name w:val="annotation text"/>
    <w:basedOn w:val="Normal"/>
    <w:link w:val="TextocomentarioCar"/>
    <w:uiPriority w:val="99"/>
    <w:unhideWhenUsed/>
    <w:rsid w:val="00C223EF"/>
    <w:pPr>
      <w:spacing w:after="200"/>
    </w:pPr>
    <w:rPr>
      <w:rFonts w:asciiTheme="minorHAnsi" w:eastAsiaTheme="minorHAnsi" w:hAnsiTheme="minorHAnsi" w:cstheme="minorBidi"/>
      <w:lang w:val="es-CO" w:eastAsia="en-US"/>
    </w:rPr>
  </w:style>
  <w:style w:type="character" w:customStyle="1" w:styleId="TextocomentarioCar">
    <w:name w:val="Texto comentario Car"/>
    <w:basedOn w:val="Fuentedeprrafopredeter"/>
    <w:link w:val="Textocomentario"/>
    <w:uiPriority w:val="99"/>
    <w:rsid w:val="00C223EF"/>
    <w:rPr>
      <w:sz w:val="20"/>
      <w:szCs w:val="20"/>
      <w:lang w:val="es-CO"/>
    </w:rPr>
  </w:style>
  <w:style w:type="paragraph" w:customStyle="1" w:styleId="xwestern">
    <w:name w:val="x_western"/>
    <w:basedOn w:val="Normal"/>
    <w:rsid w:val="008263BC"/>
    <w:rPr>
      <w:rFonts w:ascii="Times New Roman" w:eastAsia="Calibri"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512231106">
      <w:bodyDiv w:val="1"/>
      <w:marLeft w:val="0"/>
      <w:marRight w:val="0"/>
      <w:marTop w:val="0"/>
      <w:marBottom w:val="0"/>
      <w:divBdr>
        <w:top w:val="none" w:sz="0" w:space="0" w:color="auto"/>
        <w:left w:val="none" w:sz="0" w:space="0" w:color="auto"/>
        <w:bottom w:val="none" w:sz="0" w:space="0" w:color="auto"/>
        <w:right w:val="none" w:sz="0" w:space="0" w:color="auto"/>
      </w:divBdr>
    </w:div>
    <w:div w:id="596137427">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50492657">
      <w:bodyDiv w:val="1"/>
      <w:marLeft w:val="0"/>
      <w:marRight w:val="0"/>
      <w:marTop w:val="0"/>
      <w:marBottom w:val="0"/>
      <w:divBdr>
        <w:top w:val="none" w:sz="0" w:space="0" w:color="auto"/>
        <w:left w:val="none" w:sz="0" w:space="0" w:color="auto"/>
        <w:bottom w:val="none" w:sz="0" w:space="0" w:color="auto"/>
        <w:right w:val="none" w:sz="0" w:space="0" w:color="auto"/>
      </w:divBdr>
    </w:div>
    <w:div w:id="1069689453">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273705756">
      <w:bodyDiv w:val="1"/>
      <w:marLeft w:val="0"/>
      <w:marRight w:val="0"/>
      <w:marTop w:val="0"/>
      <w:marBottom w:val="0"/>
      <w:divBdr>
        <w:top w:val="none" w:sz="0" w:space="0" w:color="auto"/>
        <w:left w:val="none" w:sz="0" w:space="0" w:color="auto"/>
        <w:bottom w:val="none" w:sz="0" w:space="0" w:color="auto"/>
        <w:right w:val="none" w:sz="0" w:space="0" w:color="auto"/>
      </w:divBdr>
    </w:div>
    <w:div w:id="1342703404">
      <w:bodyDiv w:val="1"/>
      <w:marLeft w:val="0"/>
      <w:marRight w:val="0"/>
      <w:marTop w:val="0"/>
      <w:marBottom w:val="0"/>
      <w:divBdr>
        <w:top w:val="none" w:sz="0" w:space="0" w:color="auto"/>
        <w:left w:val="none" w:sz="0" w:space="0" w:color="auto"/>
        <w:bottom w:val="none" w:sz="0" w:space="0" w:color="auto"/>
        <w:right w:val="none" w:sz="0" w:space="0" w:color="auto"/>
      </w:divBdr>
    </w:div>
    <w:div w:id="1410039548">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455564713">
      <w:bodyDiv w:val="1"/>
      <w:marLeft w:val="0"/>
      <w:marRight w:val="0"/>
      <w:marTop w:val="0"/>
      <w:marBottom w:val="0"/>
      <w:divBdr>
        <w:top w:val="none" w:sz="0" w:space="0" w:color="auto"/>
        <w:left w:val="none" w:sz="0" w:space="0" w:color="auto"/>
        <w:bottom w:val="none" w:sz="0" w:space="0" w:color="auto"/>
        <w:right w:val="none" w:sz="0" w:space="0" w:color="auto"/>
      </w:divBdr>
    </w:div>
    <w:div w:id="1628008993">
      <w:bodyDiv w:val="1"/>
      <w:marLeft w:val="0"/>
      <w:marRight w:val="0"/>
      <w:marTop w:val="0"/>
      <w:marBottom w:val="0"/>
      <w:divBdr>
        <w:top w:val="none" w:sz="0" w:space="0" w:color="auto"/>
        <w:left w:val="none" w:sz="0" w:space="0" w:color="auto"/>
        <w:bottom w:val="none" w:sz="0" w:space="0" w:color="auto"/>
        <w:right w:val="none" w:sz="0" w:space="0" w:color="auto"/>
      </w:divBdr>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1780642957">
      <w:bodyDiv w:val="1"/>
      <w:marLeft w:val="0"/>
      <w:marRight w:val="0"/>
      <w:marTop w:val="0"/>
      <w:marBottom w:val="0"/>
      <w:divBdr>
        <w:top w:val="none" w:sz="0" w:space="0" w:color="auto"/>
        <w:left w:val="none" w:sz="0" w:space="0" w:color="auto"/>
        <w:bottom w:val="none" w:sz="0" w:space="0" w:color="auto"/>
        <w:right w:val="none" w:sz="0" w:space="0" w:color="auto"/>
      </w:divBdr>
    </w:div>
    <w:div w:id="1942447366">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0576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9AC4D-D215-4604-B67D-2BD6F4B91A52}">
  <ds:schemaRefs>
    <ds:schemaRef ds:uri="http://schemas.openxmlformats.org/officeDocument/2006/bibliography"/>
  </ds:schemaRefs>
</ds:datastoreItem>
</file>

<file path=customXml/itemProps2.xml><?xml version="1.0" encoding="utf-8"?>
<ds:datastoreItem xmlns:ds="http://schemas.openxmlformats.org/officeDocument/2006/customXml" ds:itemID="{FD974122-0C8D-46D7-B312-0D66B28507EB}"/>
</file>

<file path=customXml/itemProps3.xml><?xml version="1.0" encoding="utf-8"?>
<ds:datastoreItem xmlns:ds="http://schemas.openxmlformats.org/officeDocument/2006/customXml" ds:itemID="{80270746-D3BC-4F1D-8CB8-CD45C7531AD4}"/>
</file>

<file path=customXml/itemProps4.xml><?xml version="1.0" encoding="utf-8"?>
<ds:datastoreItem xmlns:ds="http://schemas.openxmlformats.org/officeDocument/2006/customXml" ds:itemID="{403CDF0D-A3ED-45A3-AE82-24E0F451885A}"/>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Zulma Patricia Gonzalez Muñoz</cp:lastModifiedBy>
  <cp:revision>2</cp:revision>
  <cp:lastPrinted>2019-12-03T19:43:00Z</cp:lastPrinted>
  <dcterms:created xsi:type="dcterms:W3CDTF">2022-03-02T22:52:00Z</dcterms:created>
  <dcterms:modified xsi:type="dcterms:W3CDTF">2022-03-02T22:52:00Z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