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1528D6F4" w:rsidR="00FF1E8D" w:rsidRDefault="00A56AE8" w:rsidP="00353B58">
            <w:pPr>
              <w:rPr>
                <w:sz w:val="24"/>
                <w:szCs w:val="24"/>
              </w:rPr>
            </w:pPr>
            <w:r w:rsidRPr="00A56AE8">
              <w:rPr>
                <w:b/>
                <w:sz w:val="24"/>
                <w:szCs w:val="24"/>
              </w:rPr>
              <w:t>Fecha</w:t>
            </w:r>
            <w:r w:rsidRPr="008B3C6C">
              <w:rPr>
                <w:sz w:val="24"/>
                <w:szCs w:val="24"/>
              </w:rPr>
              <w:t xml:space="preserve">: </w:t>
            </w:r>
            <w:r w:rsidR="001E49AF">
              <w:rPr>
                <w:sz w:val="24"/>
                <w:szCs w:val="24"/>
              </w:rPr>
              <w:t>junio</w:t>
            </w:r>
            <w:r w:rsidR="00436ACD">
              <w:rPr>
                <w:sz w:val="24"/>
                <w:szCs w:val="24"/>
              </w:rPr>
              <w:t xml:space="preserve"> 16</w:t>
            </w:r>
            <w:r w:rsidR="009925B3">
              <w:rPr>
                <w:sz w:val="24"/>
                <w:szCs w:val="24"/>
              </w:rPr>
              <w:t xml:space="preserve"> </w:t>
            </w:r>
            <w:r w:rsidR="009918A3">
              <w:rPr>
                <w:sz w:val="24"/>
                <w:szCs w:val="24"/>
              </w:rPr>
              <w:t>de</w:t>
            </w:r>
            <w:r w:rsidR="00A965D8">
              <w:rPr>
                <w:sz w:val="24"/>
                <w:szCs w:val="24"/>
              </w:rPr>
              <w:t xml:space="preserve"> 20</w:t>
            </w:r>
            <w:r w:rsidR="00CF462B">
              <w:rPr>
                <w:sz w:val="24"/>
                <w:szCs w:val="24"/>
              </w:rPr>
              <w:t>2</w:t>
            </w:r>
            <w:r w:rsidR="00436ACD">
              <w:rPr>
                <w:sz w:val="24"/>
                <w:szCs w:val="24"/>
              </w:rPr>
              <w:t>1</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426A082A" w14:textId="1D9E78AD"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436ACD">
              <w:rPr>
                <w:rFonts w:cs="Arial"/>
                <w:sz w:val="24"/>
                <w:szCs w:val="24"/>
                <w:lang w:val="es-ES_tradnl"/>
              </w:rPr>
              <w:t>3</w:t>
            </w:r>
            <w:r w:rsidR="009925B3">
              <w:rPr>
                <w:rFonts w:cs="Arial"/>
                <w:sz w:val="24"/>
                <w:szCs w:val="24"/>
                <w:lang w:val="es-ES_tradnl"/>
              </w:rPr>
              <w:t>.</w:t>
            </w:r>
          </w:p>
          <w:p w14:paraId="78C7F81D" w14:textId="77777777" w:rsidR="009C2732" w:rsidRDefault="009C2732" w:rsidP="009C2732">
            <w:pPr>
              <w:ind w:right="-92"/>
              <w:jc w:val="both"/>
            </w:pP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87A0C0E" w14:textId="77777777"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14:paraId="5D2D5392" w14:textId="77777777" w:rsidR="009C2732" w:rsidRPr="009C2732" w:rsidRDefault="009C2732" w:rsidP="009C2732"/>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217ADFA3"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CE0DFD">
              <w:rPr>
                <w:rFonts w:cs="Arial"/>
                <w:bCs/>
                <w:sz w:val="24"/>
                <w:szCs w:val="24"/>
              </w:rPr>
              <w:t>3</w:t>
            </w:r>
            <w:r w:rsidR="00436ACD">
              <w:rPr>
                <w:rFonts w:cs="Arial"/>
                <w:bCs/>
                <w:sz w:val="24"/>
                <w:szCs w:val="24"/>
              </w:rPr>
              <w:t>50</w:t>
            </w:r>
            <w:r w:rsidR="00353B58">
              <w:rPr>
                <w:rFonts w:cs="Arial"/>
                <w:bCs/>
                <w:sz w:val="24"/>
                <w:szCs w:val="24"/>
              </w:rPr>
              <w:t xml:space="preserve"> </w:t>
            </w:r>
            <w:r w:rsidR="001745EE">
              <w:rPr>
                <w:rFonts w:cs="Arial"/>
                <w:bCs/>
                <w:sz w:val="24"/>
                <w:szCs w:val="24"/>
              </w:rPr>
              <w:t>de 20</w:t>
            </w:r>
            <w:r w:rsidR="00AE359D">
              <w:rPr>
                <w:rFonts w:cs="Arial"/>
                <w:bCs/>
                <w:sz w:val="24"/>
                <w:szCs w:val="24"/>
              </w:rPr>
              <w:t>2</w:t>
            </w:r>
            <w:r w:rsidR="008278FE">
              <w:rPr>
                <w:rFonts w:cs="Arial"/>
                <w:bCs/>
                <w:sz w:val="24"/>
                <w:szCs w:val="24"/>
              </w:rPr>
              <w:t>0</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436ACD">
              <w:rPr>
                <w:rFonts w:cs="Arial"/>
                <w:bCs/>
                <w:sz w:val="24"/>
                <w:szCs w:val="24"/>
              </w:rPr>
              <w:t>2</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14:paraId="4FD26655" w14:textId="77777777" w:rsidR="00C94E4C" w:rsidRDefault="00C94E4C" w:rsidP="00353B58">
            <w:pPr>
              <w:jc w:val="both"/>
              <w:rPr>
                <w:rFonts w:cs="Arial"/>
                <w:iCs/>
                <w:sz w:val="24"/>
                <w:szCs w:val="24"/>
              </w:rPr>
            </w:pPr>
          </w:p>
          <w:p w14:paraId="55ACAFCE" w14:textId="77777777" w:rsidR="00205F69" w:rsidRDefault="00BE1876" w:rsidP="00C94E4C">
            <w:pPr>
              <w:jc w:val="both"/>
              <w:rPr>
                <w:rFonts w:cs="Arial"/>
                <w:bCs/>
                <w:sz w:val="24"/>
                <w:szCs w:val="24"/>
              </w:rPr>
            </w:pPr>
            <w:r>
              <w:rPr>
                <w:rFonts w:cs="Arial"/>
                <w:iCs/>
                <w:sz w:val="24"/>
                <w:szCs w:val="24"/>
              </w:rPr>
              <w:t>No obstante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14:paraId="5CE16560" w14:textId="77777777" w:rsidR="00C94E4C" w:rsidRPr="0009232C" w:rsidRDefault="00C94E4C" w:rsidP="00C94E4C">
            <w:pPr>
              <w:jc w:val="both"/>
              <w:rPr>
                <w:b/>
              </w:rPr>
            </w:pPr>
          </w:p>
        </w:tc>
      </w:tr>
      <w:tr w:rsidR="00A56AE8" w:rsidRPr="0086453F" w14:paraId="7F564180" w14:textId="77777777" w:rsidTr="004A33FE">
        <w:trPr>
          <w:trHeight w:val="841"/>
        </w:trPr>
        <w:tc>
          <w:tcPr>
            <w:tcW w:w="8977" w:type="dxa"/>
          </w:tcPr>
          <w:p w14:paraId="2F029134" w14:textId="77777777" w:rsidR="00C94E4C" w:rsidRDefault="00C94E4C" w:rsidP="00D7033A">
            <w:pPr>
              <w:pStyle w:val="NormalWeb"/>
              <w:spacing w:before="0" w:beforeAutospacing="0" w:after="0" w:afterAutospacing="0"/>
              <w:jc w:val="both"/>
              <w:rPr>
                <w:rFonts w:ascii="Arial" w:hAnsi="Arial" w:cs="Arial"/>
                <w:b/>
                <w:lang w:val="es-CO"/>
              </w:rPr>
            </w:pPr>
          </w:p>
          <w:p w14:paraId="5605A67E" w14:textId="2FC42DC4" w:rsidR="00C47619" w:rsidRDefault="00557544" w:rsidP="009B2FA3">
            <w:pPr>
              <w:pStyle w:val="NormalWeb"/>
              <w:spacing w:before="0" w:beforeAutospacing="0" w:after="0" w:afterAutospacing="0"/>
              <w:jc w:val="both"/>
              <w:rPr>
                <w:rFonts w:cs="Arial"/>
              </w:rPr>
            </w:pPr>
            <w:r w:rsidRPr="00210CDD">
              <w:rPr>
                <w:rFonts w:ascii="Arial" w:hAnsi="Arial" w:cs="Arial"/>
                <w:b/>
                <w:lang w:val="es-CO"/>
              </w:rPr>
              <w:t>A</w:t>
            </w:r>
            <w:r w:rsidR="00D41EE3" w:rsidRPr="00210CDD">
              <w:rPr>
                <w:rFonts w:ascii="Arial" w:hAnsi="Arial" w:cs="Arial"/>
                <w:b/>
                <w:lang w:val="es-CO"/>
              </w:rPr>
              <w:t>ntecedentes y razones de oportunidad y conveniencia que justifican la expedición del proyecto</w:t>
            </w:r>
            <w:r w:rsidR="00A97DF9" w:rsidRPr="00210CDD">
              <w:rPr>
                <w:rFonts w:ascii="Arial" w:hAnsi="Arial" w:cs="Arial"/>
                <w:b/>
                <w:lang w:val="es-CO"/>
              </w:rPr>
              <w:t>.</w:t>
            </w:r>
            <w:r w:rsidR="00850C37" w:rsidRPr="00210CDD">
              <w:rPr>
                <w:rFonts w:ascii="Arial" w:hAnsi="Arial" w:cs="Arial"/>
                <w:b/>
                <w:lang w:val="es-CO"/>
              </w:rPr>
              <w:t xml:space="preserve"> </w:t>
            </w:r>
            <w:r w:rsidR="00436ACD">
              <w:rPr>
                <w:rFonts w:cs="Arial"/>
              </w:rPr>
              <w:t xml:space="preserve">Se hace necesario </w:t>
            </w:r>
            <w:r w:rsidR="002D201C">
              <w:rPr>
                <w:rFonts w:cs="Arial"/>
              </w:rPr>
              <w:t xml:space="preserve">realizar </w:t>
            </w:r>
            <w:r w:rsidR="00436ACD">
              <w:rPr>
                <w:rFonts w:cs="Arial"/>
              </w:rPr>
              <w:t>ajustes a la última versión del Reglamento de Crédito y Leasing Habitacional, con el fin ajustar el numeral 2.1.5 en cuanto a compra de carter</w:t>
            </w:r>
            <w:r w:rsidR="002D201C">
              <w:rPr>
                <w:rFonts w:cs="Arial"/>
              </w:rPr>
              <w:t xml:space="preserve">a de crédito hipotecario y </w:t>
            </w:r>
            <w:r w:rsidR="00436ACD">
              <w:rPr>
                <w:rFonts w:cs="Arial"/>
              </w:rPr>
              <w:t xml:space="preserve">realizar algunas oportunidades de mejoramiento en lo que respecta a </w:t>
            </w:r>
            <w:r w:rsidR="002D201C">
              <w:rPr>
                <w:rFonts w:cs="Arial"/>
              </w:rPr>
              <w:t>leasing habitacional</w:t>
            </w:r>
            <w:r w:rsidR="00436ACD">
              <w:rPr>
                <w:rFonts w:cs="Arial"/>
              </w:rPr>
              <w:t xml:space="preserve">, adecuando políticas que favorecen al ciudadano y mejora las condiciones actuales de mercado y de riesgo. Además se incluyen y aclaran cláusulas en el contrato Leasing Habitacional que detallan aspectos que tienen que ver con derechos, </w:t>
            </w:r>
            <w:r w:rsidR="00436ACD">
              <w:rPr>
                <w:rFonts w:cs="Arial"/>
              </w:rPr>
              <w:lastRenderedPageBreak/>
              <w:t xml:space="preserve">obligaciones y prohibiciones del FNA y del Locatario, tales como cambio de modalidad del Contrato de Familiar a no Familiar o viceversa, aclaración en el concepto de Cesión, subsidio </w:t>
            </w:r>
            <w:proofErr w:type="spellStart"/>
            <w:r w:rsidR="00436ACD">
              <w:rPr>
                <w:rFonts w:cs="Arial"/>
              </w:rPr>
              <w:t>Frech</w:t>
            </w:r>
            <w:proofErr w:type="spellEnd"/>
            <w:r w:rsidR="00436ACD">
              <w:rPr>
                <w:rFonts w:cs="Arial"/>
              </w:rPr>
              <w:t xml:space="preserve"> No Vis</w:t>
            </w:r>
            <w:r w:rsidR="00D802CC">
              <w:rPr>
                <w:rFonts w:cs="Arial"/>
              </w:rPr>
              <w:t>;</w:t>
            </w:r>
            <w:r w:rsidR="00436ACD">
              <w:rPr>
                <w:rFonts w:cs="Arial"/>
              </w:rPr>
              <w:t xml:space="preserve"> habilitar nuevamente solución de vivienda para Colombianos Residentes en el Exterior. Igualmente no </w:t>
            </w:r>
            <w:r w:rsidR="00D802CC">
              <w:rPr>
                <w:rFonts w:cs="Arial"/>
              </w:rPr>
              <w:t xml:space="preserve">se </w:t>
            </w:r>
            <w:r w:rsidR="00436ACD">
              <w:rPr>
                <w:rFonts w:cs="Arial"/>
              </w:rPr>
              <w:t>autorizar</w:t>
            </w:r>
            <w:r w:rsidR="00D802CC">
              <w:rPr>
                <w:rFonts w:cs="Arial"/>
              </w:rPr>
              <w:t>án</w:t>
            </w:r>
            <w:r w:rsidR="00436ACD">
              <w:rPr>
                <w:rFonts w:cs="Arial"/>
              </w:rPr>
              <w:t xml:space="preserve"> mejoras que impliquen demolición total del </w:t>
            </w:r>
            <w:r w:rsidR="00D802CC">
              <w:rPr>
                <w:rFonts w:cs="Arial"/>
              </w:rPr>
              <w:t>inmueble</w:t>
            </w:r>
            <w:r w:rsidR="0020482A">
              <w:rPr>
                <w:rFonts w:cs="Arial"/>
              </w:rPr>
              <w:t>;</w:t>
            </w:r>
            <w:r w:rsidR="00436ACD">
              <w:rPr>
                <w:rFonts w:cs="Arial"/>
              </w:rPr>
              <w:t xml:space="preserve"> entre otros cambios que procuran la mejora, claridad y oportunidad en el producto.</w:t>
            </w:r>
          </w:p>
          <w:p w14:paraId="10895388" w14:textId="71FB7007" w:rsidR="00436ACD" w:rsidRPr="0086453F" w:rsidRDefault="00436ACD" w:rsidP="009B2FA3">
            <w:pPr>
              <w:pStyle w:val="NormalWeb"/>
              <w:spacing w:before="0" w:beforeAutospacing="0" w:after="0" w:afterAutospacing="0"/>
              <w:jc w:val="both"/>
              <w:rPr>
                <w:rFonts w:ascii="Arial" w:hAnsi="Arial" w:cs="Arial"/>
              </w:rPr>
            </w:pPr>
          </w:p>
        </w:tc>
      </w:tr>
      <w:tr w:rsidR="00A56AE8" w14:paraId="1C495618" w14:textId="77777777" w:rsidTr="00692C91">
        <w:trPr>
          <w:trHeight w:val="813"/>
        </w:trPr>
        <w:tc>
          <w:tcPr>
            <w:tcW w:w="8977" w:type="dxa"/>
          </w:tcPr>
          <w:p w14:paraId="2B1BB513" w14:textId="59461B3E"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leasing habitacional.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498CB301"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324175EA"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r w:rsidR="00034E4C">
              <w:rPr>
                <w:rFonts w:cs="Arial"/>
                <w:sz w:val="24"/>
                <w:szCs w:val="24"/>
              </w:rPr>
              <w:t>16</w:t>
            </w:r>
            <w:r w:rsidR="000C0477">
              <w:rPr>
                <w:rFonts w:cs="Arial"/>
                <w:sz w:val="24"/>
                <w:szCs w:val="24"/>
              </w:rPr>
              <w:t xml:space="preserve"> al </w:t>
            </w:r>
            <w:r w:rsidR="00034E4C">
              <w:rPr>
                <w:rFonts w:cs="Arial"/>
                <w:sz w:val="24"/>
                <w:szCs w:val="24"/>
              </w:rPr>
              <w:t>24</w:t>
            </w:r>
            <w:r w:rsidR="00436ACD">
              <w:rPr>
                <w:rFonts w:cs="Arial"/>
                <w:sz w:val="24"/>
                <w:szCs w:val="24"/>
              </w:rPr>
              <w:t xml:space="preserve"> </w:t>
            </w:r>
            <w:r w:rsidR="00210CDD">
              <w:rPr>
                <w:rFonts w:cs="Arial"/>
                <w:sz w:val="24"/>
                <w:szCs w:val="24"/>
              </w:rPr>
              <w:t xml:space="preserve">de </w:t>
            </w:r>
            <w:r w:rsidR="00436ACD">
              <w:rPr>
                <w:rFonts w:cs="Arial"/>
                <w:sz w:val="24"/>
                <w:szCs w:val="24"/>
              </w:rPr>
              <w:t>junio</w:t>
            </w:r>
            <w:r w:rsidR="00E02E43">
              <w:rPr>
                <w:rFonts w:cs="Arial"/>
                <w:sz w:val="24"/>
                <w:szCs w:val="24"/>
              </w:rPr>
              <w:t xml:space="preserve"> de 202</w:t>
            </w:r>
            <w:r w:rsidR="00436ACD">
              <w:rPr>
                <w:rFonts w:cs="Arial"/>
                <w:sz w:val="24"/>
                <w:szCs w:val="24"/>
              </w:rPr>
              <w:t>1</w:t>
            </w:r>
            <w:r w:rsidR="00E02E43">
              <w:rPr>
                <w:rFonts w:cs="Arial"/>
                <w:sz w:val="24"/>
                <w:szCs w:val="24"/>
              </w:rPr>
              <w:t>.</w:t>
            </w:r>
          </w:p>
        </w:tc>
      </w:tr>
      <w:tr w:rsidR="00A971D7" w14:paraId="310BCA50" w14:textId="77777777" w:rsidTr="009C2732">
        <w:trPr>
          <w:trHeight w:val="701"/>
        </w:trPr>
        <w:tc>
          <w:tcPr>
            <w:tcW w:w="8977" w:type="dxa"/>
          </w:tcPr>
          <w:p w14:paraId="19E6803C" w14:textId="77777777" w:rsidR="00207284" w:rsidRDefault="00207284" w:rsidP="009C2732">
            <w:pPr>
              <w:rPr>
                <w:rFonts w:cs="Arial"/>
                <w:b/>
                <w:sz w:val="24"/>
                <w:szCs w:val="24"/>
              </w:rPr>
            </w:pPr>
          </w:p>
          <w:p w14:paraId="3AD24E1F" w14:textId="14683D2E"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436ACD">
              <w:rPr>
                <w:rFonts w:cs="Arial"/>
                <w:sz w:val="24"/>
                <w:szCs w:val="24"/>
              </w:rPr>
              <w:t>Pendiente</w:t>
            </w:r>
            <w:r w:rsidR="00041520">
              <w:rPr>
                <w:rFonts w:cs="Arial"/>
                <w:sz w:val="24"/>
                <w:szCs w:val="24"/>
              </w:rPr>
              <w:t xml:space="preserve"> </w:t>
            </w:r>
          </w:p>
        </w:tc>
      </w:tr>
      <w:tr w:rsidR="00A56AE8" w14:paraId="0D3D8009" w14:textId="77777777" w:rsidTr="009C2732">
        <w:trPr>
          <w:trHeight w:val="279"/>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0B6597EA" w14:textId="77777777" w:rsidR="00163713" w:rsidRDefault="00163713" w:rsidP="009C2732">
            <w:pPr>
              <w:jc w:val="both"/>
              <w:rPr>
                <w:rFonts w:cs="Arial"/>
                <w:b/>
                <w:sz w:val="24"/>
                <w:szCs w:val="24"/>
              </w:rPr>
            </w:pPr>
          </w:p>
          <w:p w14:paraId="538199CA"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DF5B38D" w14:textId="77777777" w:rsidR="00FA5FBB" w:rsidRDefault="00FA5FBB" w:rsidP="009C2732">
            <w:pPr>
              <w:jc w:val="both"/>
              <w:rPr>
                <w:rFonts w:cs="Arial"/>
                <w:sz w:val="24"/>
                <w:szCs w:val="24"/>
              </w:rPr>
            </w:pPr>
          </w:p>
          <w:p w14:paraId="45F5E18B" w14:textId="77777777"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00E2140E">
              <w:rPr>
                <w:rFonts w:cs="Arial"/>
                <w:sz w:val="24"/>
                <w:szCs w:val="24"/>
              </w:rPr>
              <w:t xml:space="preserve"> es usual realizar </w:t>
            </w:r>
            <w:r w:rsidRPr="00202777">
              <w:rPr>
                <w:rFonts w:cs="Arial"/>
                <w:sz w:val="24"/>
                <w:szCs w:val="24"/>
              </w:rPr>
              <w:t xml:space="preserve">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a las </w:t>
            </w:r>
            <w:r w:rsidR="009C2C35">
              <w:rPr>
                <w:rFonts w:cs="Arial"/>
                <w:sz w:val="24"/>
                <w:szCs w:val="24"/>
              </w:rPr>
              <w:t>necesidades del mercado.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B65B" w14:textId="77777777" w:rsidR="00DC13AF" w:rsidRDefault="00DC13AF" w:rsidP="00143CFA">
      <w:r>
        <w:separator/>
      </w:r>
    </w:p>
  </w:endnote>
  <w:endnote w:type="continuationSeparator" w:id="0">
    <w:p w14:paraId="0906EC7D" w14:textId="77777777" w:rsidR="00DC13AF" w:rsidRDefault="00DC13AF"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ED69" w14:textId="77777777" w:rsidR="00DC13AF" w:rsidRDefault="00DC13AF" w:rsidP="00143CFA">
      <w:r>
        <w:separator/>
      </w:r>
    </w:p>
  </w:footnote>
  <w:footnote w:type="continuationSeparator" w:id="0">
    <w:p w14:paraId="0EAF16EB" w14:textId="77777777" w:rsidR="00DC13AF" w:rsidRDefault="00DC13AF"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5310"/>
    <w:rsid w:val="00021DC4"/>
    <w:rsid w:val="00034E4C"/>
    <w:rsid w:val="00041520"/>
    <w:rsid w:val="00043A65"/>
    <w:rsid w:val="00071DE6"/>
    <w:rsid w:val="0008483B"/>
    <w:rsid w:val="00086658"/>
    <w:rsid w:val="00086DEF"/>
    <w:rsid w:val="00087E44"/>
    <w:rsid w:val="0009232C"/>
    <w:rsid w:val="000B6E31"/>
    <w:rsid w:val="000C0477"/>
    <w:rsid w:val="000D6A3A"/>
    <w:rsid w:val="000E4666"/>
    <w:rsid w:val="000F4094"/>
    <w:rsid w:val="00126DC0"/>
    <w:rsid w:val="00143CFA"/>
    <w:rsid w:val="00163713"/>
    <w:rsid w:val="00170BC2"/>
    <w:rsid w:val="001745EE"/>
    <w:rsid w:val="001E49AF"/>
    <w:rsid w:val="001F3B13"/>
    <w:rsid w:val="001F7234"/>
    <w:rsid w:val="00202777"/>
    <w:rsid w:val="0020482A"/>
    <w:rsid w:val="00205F69"/>
    <w:rsid w:val="00207284"/>
    <w:rsid w:val="00210CDD"/>
    <w:rsid w:val="00211908"/>
    <w:rsid w:val="0021642F"/>
    <w:rsid w:val="0023348A"/>
    <w:rsid w:val="00234935"/>
    <w:rsid w:val="00255812"/>
    <w:rsid w:val="002734B4"/>
    <w:rsid w:val="00274B0C"/>
    <w:rsid w:val="00274CB3"/>
    <w:rsid w:val="00282A1A"/>
    <w:rsid w:val="00283BEE"/>
    <w:rsid w:val="00292905"/>
    <w:rsid w:val="00296C8F"/>
    <w:rsid w:val="002A6F95"/>
    <w:rsid w:val="002B7543"/>
    <w:rsid w:val="002D201C"/>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574C"/>
    <w:rsid w:val="00370FE9"/>
    <w:rsid w:val="003A07B5"/>
    <w:rsid w:val="003A568B"/>
    <w:rsid w:val="003D0D7A"/>
    <w:rsid w:val="003D7DC6"/>
    <w:rsid w:val="003E5126"/>
    <w:rsid w:val="003F422C"/>
    <w:rsid w:val="004024EB"/>
    <w:rsid w:val="00407042"/>
    <w:rsid w:val="00414CCC"/>
    <w:rsid w:val="00436ACD"/>
    <w:rsid w:val="00472E44"/>
    <w:rsid w:val="00472F2F"/>
    <w:rsid w:val="004A33FE"/>
    <w:rsid w:val="004B06FD"/>
    <w:rsid w:val="004B5406"/>
    <w:rsid w:val="004C3261"/>
    <w:rsid w:val="004D2607"/>
    <w:rsid w:val="004D31B3"/>
    <w:rsid w:val="004D37CF"/>
    <w:rsid w:val="004E675F"/>
    <w:rsid w:val="004E6DAB"/>
    <w:rsid w:val="004F79F8"/>
    <w:rsid w:val="004F7BFB"/>
    <w:rsid w:val="00512DAC"/>
    <w:rsid w:val="0051785D"/>
    <w:rsid w:val="005203A3"/>
    <w:rsid w:val="00557544"/>
    <w:rsid w:val="00560FDF"/>
    <w:rsid w:val="00572C47"/>
    <w:rsid w:val="0057658E"/>
    <w:rsid w:val="005848E1"/>
    <w:rsid w:val="005902B8"/>
    <w:rsid w:val="005B341E"/>
    <w:rsid w:val="00615C52"/>
    <w:rsid w:val="0063062B"/>
    <w:rsid w:val="00665481"/>
    <w:rsid w:val="00691602"/>
    <w:rsid w:val="00692C91"/>
    <w:rsid w:val="006B3A17"/>
    <w:rsid w:val="006B590A"/>
    <w:rsid w:val="006F26C0"/>
    <w:rsid w:val="007048A7"/>
    <w:rsid w:val="00721051"/>
    <w:rsid w:val="00725341"/>
    <w:rsid w:val="00730061"/>
    <w:rsid w:val="00773CCB"/>
    <w:rsid w:val="0077692F"/>
    <w:rsid w:val="00783B7F"/>
    <w:rsid w:val="007913FA"/>
    <w:rsid w:val="00797504"/>
    <w:rsid w:val="00797689"/>
    <w:rsid w:val="007977EC"/>
    <w:rsid w:val="007A35B2"/>
    <w:rsid w:val="007A52EF"/>
    <w:rsid w:val="007B2AEC"/>
    <w:rsid w:val="007C15D1"/>
    <w:rsid w:val="007D2AFD"/>
    <w:rsid w:val="00812BF0"/>
    <w:rsid w:val="00820668"/>
    <w:rsid w:val="008278FE"/>
    <w:rsid w:val="00836BC0"/>
    <w:rsid w:val="008470B4"/>
    <w:rsid w:val="00847DB3"/>
    <w:rsid w:val="00850C37"/>
    <w:rsid w:val="008516AF"/>
    <w:rsid w:val="00864115"/>
    <w:rsid w:val="0086453F"/>
    <w:rsid w:val="00890AFC"/>
    <w:rsid w:val="00893213"/>
    <w:rsid w:val="008B3C6C"/>
    <w:rsid w:val="008B4EE1"/>
    <w:rsid w:val="008C3042"/>
    <w:rsid w:val="008D600D"/>
    <w:rsid w:val="008E1BA1"/>
    <w:rsid w:val="008E287B"/>
    <w:rsid w:val="008F0293"/>
    <w:rsid w:val="008F28CD"/>
    <w:rsid w:val="009453CC"/>
    <w:rsid w:val="009529CF"/>
    <w:rsid w:val="009717A2"/>
    <w:rsid w:val="00974BC6"/>
    <w:rsid w:val="009918A3"/>
    <w:rsid w:val="009925B3"/>
    <w:rsid w:val="009943CE"/>
    <w:rsid w:val="00996537"/>
    <w:rsid w:val="009A0DA1"/>
    <w:rsid w:val="009A4994"/>
    <w:rsid w:val="009A6494"/>
    <w:rsid w:val="009B2FA3"/>
    <w:rsid w:val="009C0D86"/>
    <w:rsid w:val="009C2732"/>
    <w:rsid w:val="009C2C35"/>
    <w:rsid w:val="009F5EF8"/>
    <w:rsid w:val="00A13EA8"/>
    <w:rsid w:val="00A31A6D"/>
    <w:rsid w:val="00A40889"/>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BD0"/>
    <w:rsid w:val="00AB0A1D"/>
    <w:rsid w:val="00AB6C82"/>
    <w:rsid w:val="00AD039D"/>
    <w:rsid w:val="00AD4E6C"/>
    <w:rsid w:val="00AE359D"/>
    <w:rsid w:val="00B2436C"/>
    <w:rsid w:val="00B31CD9"/>
    <w:rsid w:val="00B32843"/>
    <w:rsid w:val="00B44160"/>
    <w:rsid w:val="00B50175"/>
    <w:rsid w:val="00B6674F"/>
    <w:rsid w:val="00B67328"/>
    <w:rsid w:val="00B678A8"/>
    <w:rsid w:val="00B85059"/>
    <w:rsid w:val="00B9196D"/>
    <w:rsid w:val="00B924F7"/>
    <w:rsid w:val="00BA532C"/>
    <w:rsid w:val="00BE1876"/>
    <w:rsid w:val="00BE1DF6"/>
    <w:rsid w:val="00BE2D29"/>
    <w:rsid w:val="00C052A9"/>
    <w:rsid w:val="00C0580C"/>
    <w:rsid w:val="00C05F29"/>
    <w:rsid w:val="00C06393"/>
    <w:rsid w:val="00C0667D"/>
    <w:rsid w:val="00C157D5"/>
    <w:rsid w:val="00C168A3"/>
    <w:rsid w:val="00C3175A"/>
    <w:rsid w:val="00C3361D"/>
    <w:rsid w:val="00C33D66"/>
    <w:rsid w:val="00C47619"/>
    <w:rsid w:val="00C5602B"/>
    <w:rsid w:val="00C56CF4"/>
    <w:rsid w:val="00C65C5D"/>
    <w:rsid w:val="00C71F81"/>
    <w:rsid w:val="00C86116"/>
    <w:rsid w:val="00C94E4C"/>
    <w:rsid w:val="00CA57DD"/>
    <w:rsid w:val="00CC30A9"/>
    <w:rsid w:val="00CD06A4"/>
    <w:rsid w:val="00CE0DFD"/>
    <w:rsid w:val="00CF3529"/>
    <w:rsid w:val="00CF462B"/>
    <w:rsid w:val="00D155AF"/>
    <w:rsid w:val="00D41EE3"/>
    <w:rsid w:val="00D460FA"/>
    <w:rsid w:val="00D56182"/>
    <w:rsid w:val="00D7033A"/>
    <w:rsid w:val="00D7791B"/>
    <w:rsid w:val="00D802CC"/>
    <w:rsid w:val="00D8316D"/>
    <w:rsid w:val="00DA5DC6"/>
    <w:rsid w:val="00DB3E1E"/>
    <w:rsid w:val="00DC13AF"/>
    <w:rsid w:val="00DC41F0"/>
    <w:rsid w:val="00DD2066"/>
    <w:rsid w:val="00DD3C0C"/>
    <w:rsid w:val="00E02E43"/>
    <w:rsid w:val="00E2140E"/>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34EB"/>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2.xml><?xml version="1.0" encoding="utf-8"?>
<ds:datastoreItem xmlns:ds="http://schemas.openxmlformats.org/officeDocument/2006/customXml" ds:itemID="{1380077E-A5B1-4FA1-9556-77C901AB6DF7}"/>
</file>

<file path=customXml/itemProps3.xml><?xml version="1.0" encoding="utf-8"?>
<ds:datastoreItem xmlns:ds="http://schemas.openxmlformats.org/officeDocument/2006/customXml" ds:itemID="{90538986-6292-4E3D-804C-734F45CFA865}"/>
</file>

<file path=customXml/itemProps4.xml><?xml version="1.0" encoding="utf-8"?>
<ds:datastoreItem xmlns:ds="http://schemas.openxmlformats.org/officeDocument/2006/customXml" ds:itemID="{C7616312-ABD0-4495-A82B-97CAE462B338}"/>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Adriana Rojas Gonzalez</cp:lastModifiedBy>
  <cp:revision>9</cp:revision>
  <cp:lastPrinted>2019-12-03T19:43:00Z</cp:lastPrinted>
  <dcterms:created xsi:type="dcterms:W3CDTF">2021-06-16T20:45:00Z</dcterms:created>
  <dcterms:modified xsi:type="dcterms:W3CDTF">2021-06-16T21:50:00Z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