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1" w:rightFromText="141" w:vertAnchor="page" w:horzAnchor="margin" w:tblpY="2341"/>
        <w:tblW w:w="8977" w:type="dxa"/>
        <w:tblLook w:val="04A0" w:firstRow="1" w:lastRow="0" w:firstColumn="1" w:lastColumn="0" w:noHBand="0" w:noVBand="1"/>
      </w:tblPr>
      <w:tblGrid>
        <w:gridCol w:w="8977"/>
      </w:tblGrid>
      <w:tr w:rsidR="00FF1E8D" w14:paraId="7108E10A" w14:textId="77777777" w:rsidTr="009C2732">
        <w:trPr>
          <w:trHeight w:val="992"/>
        </w:trPr>
        <w:tc>
          <w:tcPr>
            <w:tcW w:w="8977" w:type="dxa"/>
          </w:tcPr>
          <w:p w14:paraId="5B9C8F6A" w14:textId="77777777" w:rsidR="00FF1E8D" w:rsidRDefault="00FF1E8D" w:rsidP="009C2732"/>
          <w:p w14:paraId="2036B57E" w14:textId="77777777" w:rsidR="00FF1E8D" w:rsidRDefault="00FF1E8D" w:rsidP="009C2732"/>
          <w:p w14:paraId="6DDD7066" w14:textId="77777777" w:rsidR="00FF1E8D" w:rsidRPr="009918A3" w:rsidRDefault="00FF1E8D" w:rsidP="009C2732">
            <w:pPr>
              <w:pStyle w:val="Ttulo2"/>
              <w:ind w:left="72" w:right="72"/>
              <w:outlineLvl w:val="1"/>
              <w:rPr>
                <w:rFonts w:cs="Arial"/>
                <w:bCs/>
                <w:sz w:val="24"/>
                <w:szCs w:val="24"/>
              </w:rPr>
            </w:pPr>
            <w:r w:rsidRPr="009918A3">
              <w:rPr>
                <w:rFonts w:cs="Arial"/>
                <w:bCs/>
                <w:sz w:val="24"/>
                <w:szCs w:val="24"/>
              </w:rPr>
              <w:t xml:space="preserve">MEMORIA </w:t>
            </w:r>
            <w:r w:rsidR="009918A3" w:rsidRPr="009918A3">
              <w:rPr>
                <w:rFonts w:cs="Arial"/>
                <w:bCs/>
                <w:sz w:val="24"/>
                <w:szCs w:val="24"/>
              </w:rPr>
              <w:t>JUSTIFICATIVA – EXPEDICIÓN</w:t>
            </w:r>
            <w:r w:rsidRPr="009918A3">
              <w:rPr>
                <w:rFonts w:cs="Arial"/>
                <w:bCs/>
                <w:sz w:val="24"/>
                <w:szCs w:val="24"/>
              </w:rPr>
              <w:t xml:space="preserve"> NORMATIVA</w:t>
            </w:r>
          </w:p>
          <w:p w14:paraId="632DD9C9" w14:textId="77777777" w:rsidR="00FF1E8D" w:rsidRDefault="00FF1E8D" w:rsidP="009C2732"/>
        </w:tc>
      </w:tr>
      <w:tr w:rsidR="00FF1E8D" w14:paraId="3A3EF56C" w14:textId="77777777" w:rsidTr="009C2732">
        <w:trPr>
          <w:trHeight w:val="573"/>
        </w:trPr>
        <w:tc>
          <w:tcPr>
            <w:tcW w:w="8977" w:type="dxa"/>
          </w:tcPr>
          <w:p w14:paraId="7CAE217C" w14:textId="77777777" w:rsidR="00C94E4C" w:rsidRDefault="00C94E4C" w:rsidP="009C2732">
            <w:pPr>
              <w:rPr>
                <w:rFonts w:cs="Arial"/>
                <w:b/>
                <w:sz w:val="24"/>
                <w:szCs w:val="24"/>
                <w:lang w:val="es-CO"/>
              </w:rPr>
            </w:pPr>
          </w:p>
          <w:p w14:paraId="3F477EC5" w14:textId="77777777" w:rsidR="00FF1E8D" w:rsidRDefault="00FF1E8D" w:rsidP="009C2732">
            <w:pPr>
              <w:rPr>
                <w:rFonts w:cs="Arial"/>
                <w:sz w:val="24"/>
                <w:szCs w:val="24"/>
                <w:lang w:val="es-CO"/>
              </w:rPr>
            </w:pPr>
            <w:r w:rsidRPr="00FF1E8D">
              <w:rPr>
                <w:rFonts w:cs="Arial"/>
                <w:b/>
                <w:sz w:val="24"/>
                <w:szCs w:val="24"/>
                <w:lang w:val="es-CO"/>
              </w:rPr>
              <w:t>Entidad que desarrollara el proyecto de Norma</w:t>
            </w:r>
            <w:r>
              <w:rPr>
                <w:rFonts w:cs="Arial"/>
                <w:b/>
                <w:sz w:val="24"/>
                <w:szCs w:val="24"/>
                <w:lang w:val="es-CO"/>
              </w:rPr>
              <w:t xml:space="preserve">: </w:t>
            </w:r>
            <w:r w:rsidRPr="00FF1E8D">
              <w:rPr>
                <w:rFonts w:cs="Arial"/>
                <w:sz w:val="24"/>
                <w:szCs w:val="24"/>
                <w:lang w:val="es-CO"/>
              </w:rPr>
              <w:t>Fondo Nacional del Ahorro</w:t>
            </w:r>
            <w:r w:rsidR="00C0667D">
              <w:rPr>
                <w:rFonts w:cs="Arial"/>
                <w:sz w:val="24"/>
                <w:szCs w:val="24"/>
                <w:lang w:val="es-CO"/>
              </w:rPr>
              <w:t xml:space="preserve"> Carlos Lleras Restrepo</w:t>
            </w:r>
          </w:p>
          <w:p w14:paraId="34D7149F" w14:textId="77777777" w:rsidR="00C94E4C" w:rsidRPr="00FF1E8D" w:rsidRDefault="00C94E4C" w:rsidP="009C2732">
            <w:pPr>
              <w:rPr>
                <w:b/>
              </w:rPr>
            </w:pPr>
          </w:p>
        </w:tc>
      </w:tr>
      <w:tr w:rsidR="00FF1E8D" w14:paraId="43376B3E" w14:textId="77777777" w:rsidTr="009C2732">
        <w:trPr>
          <w:trHeight w:val="511"/>
        </w:trPr>
        <w:tc>
          <w:tcPr>
            <w:tcW w:w="8977" w:type="dxa"/>
          </w:tcPr>
          <w:p w14:paraId="1C5A0C06" w14:textId="77777777" w:rsidR="00FF1E8D" w:rsidRDefault="00FF1E8D" w:rsidP="009C2732"/>
          <w:p w14:paraId="458C0936" w14:textId="0EF7751F" w:rsidR="00FF1E8D" w:rsidRDefault="00A56AE8" w:rsidP="00353B58">
            <w:pPr>
              <w:rPr>
                <w:sz w:val="24"/>
                <w:szCs w:val="24"/>
              </w:rPr>
            </w:pPr>
            <w:r w:rsidRPr="00A56AE8">
              <w:rPr>
                <w:b/>
                <w:sz w:val="24"/>
                <w:szCs w:val="24"/>
              </w:rPr>
              <w:t>Fecha</w:t>
            </w:r>
            <w:r w:rsidRPr="008B3C6C">
              <w:rPr>
                <w:sz w:val="24"/>
                <w:szCs w:val="24"/>
              </w:rPr>
              <w:t xml:space="preserve">: </w:t>
            </w:r>
            <w:proofErr w:type="gramStart"/>
            <w:r w:rsidR="009E301F">
              <w:rPr>
                <w:sz w:val="24"/>
                <w:szCs w:val="24"/>
              </w:rPr>
              <w:t>Agosto</w:t>
            </w:r>
            <w:proofErr w:type="gramEnd"/>
            <w:r w:rsidR="00436ACD">
              <w:rPr>
                <w:sz w:val="24"/>
                <w:szCs w:val="24"/>
              </w:rPr>
              <w:t xml:space="preserve"> </w:t>
            </w:r>
            <w:r w:rsidR="009E301F">
              <w:rPr>
                <w:sz w:val="24"/>
                <w:szCs w:val="24"/>
              </w:rPr>
              <w:t>19</w:t>
            </w:r>
            <w:r w:rsidR="009925B3">
              <w:rPr>
                <w:sz w:val="24"/>
                <w:szCs w:val="24"/>
              </w:rPr>
              <w:t xml:space="preserve"> </w:t>
            </w:r>
            <w:r w:rsidR="009918A3">
              <w:rPr>
                <w:sz w:val="24"/>
                <w:szCs w:val="24"/>
              </w:rPr>
              <w:t>de</w:t>
            </w:r>
            <w:r w:rsidR="00A965D8">
              <w:rPr>
                <w:sz w:val="24"/>
                <w:szCs w:val="24"/>
              </w:rPr>
              <w:t xml:space="preserve"> 20</w:t>
            </w:r>
            <w:r w:rsidR="00CF462B">
              <w:rPr>
                <w:sz w:val="24"/>
                <w:szCs w:val="24"/>
              </w:rPr>
              <w:t>2</w:t>
            </w:r>
            <w:r w:rsidR="00436ACD">
              <w:rPr>
                <w:sz w:val="24"/>
                <w:szCs w:val="24"/>
              </w:rPr>
              <w:t>1</w:t>
            </w:r>
          </w:p>
          <w:p w14:paraId="284A3DF3" w14:textId="77777777" w:rsidR="00C94E4C" w:rsidRPr="00A56AE8" w:rsidRDefault="00C94E4C" w:rsidP="00353B58">
            <w:pPr>
              <w:rPr>
                <w:b/>
                <w:sz w:val="24"/>
                <w:szCs w:val="24"/>
              </w:rPr>
            </w:pPr>
          </w:p>
        </w:tc>
      </w:tr>
      <w:tr w:rsidR="00FF1E8D" w14:paraId="2A866DF7" w14:textId="77777777" w:rsidTr="009C2732">
        <w:trPr>
          <w:trHeight w:val="806"/>
        </w:trPr>
        <w:tc>
          <w:tcPr>
            <w:tcW w:w="8977" w:type="dxa"/>
          </w:tcPr>
          <w:p w14:paraId="401A0CCE" w14:textId="77777777" w:rsidR="00A56AE8" w:rsidRDefault="00A56AE8" w:rsidP="009C2732">
            <w:pPr>
              <w:ind w:right="72"/>
              <w:jc w:val="both"/>
              <w:rPr>
                <w:rFonts w:cs="Arial"/>
                <w:b/>
                <w:bCs/>
                <w:sz w:val="24"/>
                <w:szCs w:val="24"/>
              </w:rPr>
            </w:pPr>
          </w:p>
          <w:p w14:paraId="426A082A" w14:textId="429EDD66" w:rsidR="00C168A3" w:rsidRPr="00C168A3" w:rsidRDefault="00A56AE8" w:rsidP="00C168A3">
            <w:pPr>
              <w:tabs>
                <w:tab w:val="left" w:pos="284"/>
                <w:tab w:val="left" w:pos="8931"/>
              </w:tabs>
              <w:ind w:right="44"/>
              <w:jc w:val="both"/>
              <w:rPr>
                <w:rFonts w:cs="Arial"/>
                <w:iCs/>
                <w:sz w:val="24"/>
                <w:szCs w:val="24"/>
              </w:rPr>
            </w:pPr>
            <w:r w:rsidRPr="00C168A3">
              <w:rPr>
                <w:rFonts w:cs="Arial"/>
                <w:b/>
                <w:bCs/>
                <w:sz w:val="24"/>
                <w:szCs w:val="24"/>
              </w:rPr>
              <w:t xml:space="preserve">Proyecto de </w:t>
            </w:r>
            <w:r w:rsidR="009C2732" w:rsidRPr="00C168A3">
              <w:rPr>
                <w:rFonts w:cs="Arial"/>
                <w:b/>
                <w:bCs/>
                <w:sz w:val="24"/>
                <w:szCs w:val="24"/>
              </w:rPr>
              <w:t>Acto Administrativo</w:t>
            </w:r>
            <w:r w:rsidRPr="00C168A3">
              <w:rPr>
                <w:rFonts w:cs="Arial"/>
                <w:bCs/>
                <w:sz w:val="24"/>
                <w:szCs w:val="24"/>
              </w:rPr>
              <w:t>:</w:t>
            </w:r>
            <w:r w:rsidR="00A965D8" w:rsidRPr="00C168A3">
              <w:rPr>
                <w:rFonts w:cs="Arial"/>
                <w:bCs/>
                <w:sz w:val="24"/>
                <w:szCs w:val="24"/>
              </w:rPr>
              <w:t xml:space="preserve"> Acuerdo por medio del cual se adopta </w:t>
            </w:r>
            <w:r w:rsidR="00C168A3" w:rsidRPr="00C168A3">
              <w:rPr>
                <w:rFonts w:cs="Arial"/>
                <w:sz w:val="24"/>
                <w:szCs w:val="24"/>
              </w:rPr>
              <w:t>una nueva versión del</w:t>
            </w:r>
            <w:r w:rsidR="00C168A3" w:rsidRPr="00C168A3">
              <w:rPr>
                <w:rFonts w:cs="Arial"/>
                <w:iCs/>
                <w:sz w:val="24"/>
                <w:szCs w:val="24"/>
              </w:rPr>
              <w:t xml:space="preserve"> Reglamento de Crédito y Leasing Habitacional en el Fondo Nacional del Ahorro</w:t>
            </w:r>
            <w:r w:rsidR="00C168A3" w:rsidRPr="00C168A3">
              <w:rPr>
                <w:rFonts w:cs="Arial"/>
                <w:sz w:val="24"/>
                <w:szCs w:val="24"/>
                <w:lang w:val="es-ES_tradnl"/>
              </w:rPr>
              <w:t xml:space="preserve">, Código </w:t>
            </w:r>
            <w:r w:rsidR="00C168A3" w:rsidRPr="00C168A3">
              <w:rPr>
                <w:rFonts w:cs="Arial"/>
                <w:bCs/>
                <w:sz w:val="24"/>
                <w:szCs w:val="24"/>
                <w:lang w:eastAsia="es-CO"/>
              </w:rPr>
              <w:t>ID-RP-CREYLH</w:t>
            </w:r>
            <w:r w:rsidR="00C168A3" w:rsidRPr="00C168A3">
              <w:rPr>
                <w:rFonts w:cs="Arial"/>
                <w:sz w:val="24"/>
                <w:szCs w:val="24"/>
                <w:lang w:val="es-ES_tradnl"/>
              </w:rPr>
              <w:t xml:space="preserve">, </w:t>
            </w:r>
            <w:r w:rsidR="009925B3">
              <w:rPr>
                <w:rFonts w:cs="Arial"/>
                <w:sz w:val="24"/>
                <w:szCs w:val="24"/>
                <w:lang w:val="es-ES_tradnl"/>
              </w:rPr>
              <w:t>Versión 2</w:t>
            </w:r>
            <w:r w:rsidR="009E301F">
              <w:rPr>
                <w:rFonts w:cs="Arial"/>
                <w:sz w:val="24"/>
                <w:szCs w:val="24"/>
                <w:lang w:val="es-ES_tradnl"/>
              </w:rPr>
              <w:t>4</w:t>
            </w:r>
            <w:r w:rsidR="009925B3">
              <w:rPr>
                <w:rFonts w:cs="Arial"/>
                <w:sz w:val="24"/>
                <w:szCs w:val="24"/>
                <w:lang w:val="es-ES_tradnl"/>
              </w:rPr>
              <w:t>.</w:t>
            </w:r>
          </w:p>
          <w:p w14:paraId="78C7F81D" w14:textId="77777777" w:rsidR="009C2732" w:rsidRDefault="009C2732" w:rsidP="009C2732">
            <w:pPr>
              <w:ind w:right="-92"/>
              <w:jc w:val="both"/>
            </w:pPr>
          </w:p>
        </w:tc>
      </w:tr>
      <w:tr w:rsidR="00FF1E8D" w14:paraId="2EEBFAC1" w14:textId="77777777" w:rsidTr="009C2732">
        <w:trPr>
          <w:trHeight w:val="744"/>
        </w:trPr>
        <w:tc>
          <w:tcPr>
            <w:tcW w:w="8977" w:type="dxa"/>
          </w:tcPr>
          <w:p w14:paraId="02357945" w14:textId="77777777" w:rsidR="00C94E4C" w:rsidRDefault="00C94E4C" w:rsidP="004F7BFB">
            <w:pPr>
              <w:jc w:val="both"/>
              <w:rPr>
                <w:rFonts w:cs="Arial"/>
                <w:b/>
                <w:bCs/>
                <w:sz w:val="24"/>
                <w:szCs w:val="24"/>
              </w:rPr>
            </w:pPr>
          </w:p>
          <w:p w14:paraId="587A0C0E" w14:textId="2DED794F" w:rsidR="00FF1E8D" w:rsidRPr="00EC5DBC" w:rsidRDefault="00A56AE8" w:rsidP="004F7BFB">
            <w:pPr>
              <w:jc w:val="both"/>
              <w:rPr>
                <w:rFonts w:cs="Arial"/>
                <w:bCs/>
                <w:sz w:val="24"/>
                <w:szCs w:val="24"/>
              </w:rPr>
            </w:pPr>
            <w:r w:rsidRPr="00EE16A7">
              <w:rPr>
                <w:rFonts w:cs="Arial"/>
                <w:b/>
                <w:bCs/>
                <w:sz w:val="24"/>
                <w:szCs w:val="24"/>
              </w:rPr>
              <w:t>Normas que otorgan competencia para la expedición del acto</w:t>
            </w:r>
            <w:r w:rsidRPr="00A57862">
              <w:rPr>
                <w:rFonts w:cs="Arial"/>
                <w:bCs/>
                <w:sz w:val="24"/>
                <w:szCs w:val="24"/>
              </w:rPr>
              <w:t>:</w:t>
            </w:r>
            <w:r w:rsidR="00A57862" w:rsidRPr="00A57862">
              <w:rPr>
                <w:rFonts w:cs="Arial"/>
                <w:bCs/>
                <w:sz w:val="24"/>
                <w:szCs w:val="24"/>
              </w:rPr>
              <w:t xml:space="preserve"> </w:t>
            </w:r>
            <w:r w:rsidR="004F7BFB">
              <w:t xml:space="preserve"> </w:t>
            </w:r>
            <w:r w:rsidR="004F7BFB" w:rsidRPr="00EC5DBC">
              <w:rPr>
                <w:sz w:val="24"/>
                <w:szCs w:val="24"/>
              </w:rPr>
              <w:t xml:space="preserve">art. 12 del Decreto 1454 de 1998, </w:t>
            </w:r>
            <w:r w:rsidR="0008483B">
              <w:rPr>
                <w:sz w:val="24"/>
                <w:szCs w:val="24"/>
              </w:rPr>
              <w:t>Circular Básica Contable 100 de la Superintendencia Financiera de Colombi</w:t>
            </w:r>
            <w:r w:rsidR="00A13EA8">
              <w:rPr>
                <w:sz w:val="24"/>
                <w:szCs w:val="24"/>
              </w:rPr>
              <w:t>a</w:t>
            </w:r>
            <w:r w:rsidR="005873DD">
              <w:rPr>
                <w:rFonts w:cs="Arial"/>
                <w:iCs/>
                <w:sz w:val="24"/>
                <w:szCs w:val="24"/>
              </w:rPr>
              <w:t>.</w:t>
            </w:r>
          </w:p>
          <w:p w14:paraId="5D2D5392" w14:textId="77777777" w:rsidR="009C2732" w:rsidRPr="009C2732" w:rsidRDefault="009C2732" w:rsidP="009C2732"/>
        </w:tc>
      </w:tr>
      <w:tr w:rsidR="00FF1E8D" w14:paraId="34008CE6" w14:textId="77777777" w:rsidTr="009C2732">
        <w:trPr>
          <w:trHeight w:val="527"/>
        </w:trPr>
        <w:tc>
          <w:tcPr>
            <w:tcW w:w="8977" w:type="dxa"/>
          </w:tcPr>
          <w:p w14:paraId="2DFF9B7A" w14:textId="77777777" w:rsidR="00C94E4C" w:rsidRDefault="00C94E4C" w:rsidP="009C2732">
            <w:pPr>
              <w:rPr>
                <w:rFonts w:cs="Arial"/>
                <w:b/>
                <w:bCs/>
                <w:sz w:val="24"/>
                <w:szCs w:val="24"/>
              </w:rPr>
            </w:pPr>
          </w:p>
          <w:p w14:paraId="41FC573C" w14:textId="77777777" w:rsidR="00FF1E8D" w:rsidRPr="004F7BFB" w:rsidRDefault="00A57862" w:rsidP="009C2732">
            <w:pPr>
              <w:rPr>
                <w:rFonts w:cs="Arial"/>
                <w:bCs/>
                <w:sz w:val="24"/>
                <w:szCs w:val="24"/>
              </w:rPr>
            </w:pPr>
            <w:r w:rsidRPr="00A57862">
              <w:rPr>
                <w:rFonts w:cs="Arial"/>
                <w:b/>
                <w:bCs/>
                <w:sz w:val="24"/>
                <w:szCs w:val="24"/>
              </w:rPr>
              <w:t>Vigencia de la norma reglamentada o desarrollada:</w:t>
            </w:r>
            <w:r>
              <w:rPr>
                <w:rFonts w:cs="Arial"/>
                <w:b/>
                <w:bCs/>
                <w:sz w:val="24"/>
                <w:szCs w:val="24"/>
              </w:rPr>
              <w:t xml:space="preserve"> </w:t>
            </w:r>
            <w:r w:rsidR="004F7BFB" w:rsidRPr="004F7BFB">
              <w:rPr>
                <w:rFonts w:cs="Arial"/>
                <w:bCs/>
                <w:sz w:val="24"/>
                <w:szCs w:val="24"/>
              </w:rPr>
              <w:t>El acuerdo regirá a partir de la fecha de su publicación</w:t>
            </w:r>
          </w:p>
          <w:p w14:paraId="08AB7051" w14:textId="77777777" w:rsidR="004B06FD" w:rsidRPr="00A57862" w:rsidRDefault="004B06FD" w:rsidP="009C2732">
            <w:pPr>
              <w:jc w:val="both"/>
              <w:rPr>
                <w:b/>
              </w:rPr>
            </w:pPr>
          </w:p>
        </w:tc>
      </w:tr>
      <w:tr w:rsidR="00FF1E8D" w14:paraId="4DFAF129" w14:textId="77777777" w:rsidTr="009C2732">
        <w:trPr>
          <w:trHeight w:val="1085"/>
        </w:trPr>
        <w:tc>
          <w:tcPr>
            <w:tcW w:w="8977" w:type="dxa"/>
          </w:tcPr>
          <w:p w14:paraId="142A133F" w14:textId="77777777" w:rsidR="00C94E4C" w:rsidRDefault="00C94E4C" w:rsidP="00353B58">
            <w:pPr>
              <w:jc w:val="both"/>
              <w:rPr>
                <w:rFonts w:cs="Arial"/>
                <w:b/>
                <w:bCs/>
                <w:sz w:val="24"/>
                <w:szCs w:val="24"/>
              </w:rPr>
            </w:pPr>
          </w:p>
          <w:p w14:paraId="2D311A80" w14:textId="05561C7D" w:rsidR="00C94E4C" w:rsidRDefault="0009232C" w:rsidP="00353B58">
            <w:pPr>
              <w:jc w:val="both"/>
              <w:rPr>
                <w:rFonts w:cs="Arial"/>
                <w:iCs/>
                <w:sz w:val="24"/>
                <w:szCs w:val="24"/>
              </w:rPr>
            </w:pPr>
            <w:r w:rsidRPr="0009232C">
              <w:rPr>
                <w:rFonts w:cs="Arial"/>
                <w:b/>
                <w:bCs/>
                <w:sz w:val="24"/>
                <w:szCs w:val="24"/>
              </w:rPr>
              <w:t>Disposiciones derogadas, subrogadas, modificadas, adicionadas o sustituidas</w:t>
            </w:r>
            <w:r w:rsidR="001745EE">
              <w:rPr>
                <w:rFonts w:cs="Arial"/>
                <w:b/>
                <w:bCs/>
                <w:sz w:val="24"/>
                <w:szCs w:val="24"/>
              </w:rPr>
              <w:t xml:space="preserve">. </w:t>
            </w:r>
            <w:r w:rsidR="001745EE" w:rsidRPr="004F7BFB">
              <w:rPr>
                <w:rFonts w:cs="Arial"/>
                <w:bCs/>
                <w:sz w:val="24"/>
                <w:szCs w:val="24"/>
              </w:rPr>
              <w:t>Deroga el Acuerdo</w:t>
            </w:r>
            <w:r w:rsidR="00AE359D">
              <w:rPr>
                <w:rFonts w:cs="Arial"/>
                <w:bCs/>
                <w:sz w:val="24"/>
                <w:szCs w:val="24"/>
              </w:rPr>
              <w:t xml:space="preserve"> </w:t>
            </w:r>
            <w:r w:rsidR="009925B3">
              <w:rPr>
                <w:rFonts w:cs="Arial"/>
                <w:bCs/>
                <w:sz w:val="24"/>
                <w:szCs w:val="24"/>
              </w:rPr>
              <w:t>2</w:t>
            </w:r>
            <w:r w:rsidR="000815AB">
              <w:rPr>
                <w:rFonts w:cs="Arial"/>
                <w:bCs/>
                <w:sz w:val="24"/>
                <w:szCs w:val="24"/>
              </w:rPr>
              <w:t>414</w:t>
            </w:r>
            <w:r w:rsidR="00353B58">
              <w:rPr>
                <w:rFonts w:cs="Arial"/>
                <w:bCs/>
                <w:sz w:val="24"/>
                <w:szCs w:val="24"/>
              </w:rPr>
              <w:t xml:space="preserve"> </w:t>
            </w:r>
            <w:r w:rsidR="001745EE">
              <w:rPr>
                <w:rFonts w:cs="Arial"/>
                <w:bCs/>
                <w:sz w:val="24"/>
                <w:szCs w:val="24"/>
              </w:rPr>
              <w:t>de 20</w:t>
            </w:r>
            <w:r w:rsidR="00AE359D">
              <w:rPr>
                <w:rFonts w:cs="Arial"/>
                <w:bCs/>
                <w:sz w:val="24"/>
                <w:szCs w:val="24"/>
              </w:rPr>
              <w:t>2</w:t>
            </w:r>
            <w:r w:rsidR="000815AB">
              <w:rPr>
                <w:rFonts w:cs="Arial"/>
                <w:bCs/>
                <w:sz w:val="24"/>
                <w:szCs w:val="24"/>
              </w:rPr>
              <w:t>1</w:t>
            </w:r>
            <w:r w:rsidR="00353B58">
              <w:rPr>
                <w:rFonts w:cs="Arial"/>
                <w:bCs/>
                <w:sz w:val="24"/>
                <w:szCs w:val="24"/>
              </w:rPr>
              <w:t>,</w:t>
            </w:r>
            <w:r w:rsidR="001745EE" w:rsidRPr="004F7BFB">
              <w:rPr>
                <w:rFonts w:cs="Arial"/>
                <w:bCs/>
                <w:sz w:val="24"/>
                <w:szCs w:val="24"/>
              </w:rPr>
              <w:t xml:space="preserve"> por medio del cual se adopta la Versión </w:t>
            </w:r>
            <w:r w:rsidR="009925B3">
              <w:rPr>
                <w:rFonts w:cs="Arial"/>
                <w:bCs/>
                <w:sz w:val="24"/>
                <w:szCs w:val="24"/>
              </w:rPr>
              <w:t>2</w:t>
            </w:r>
            <w:r w:rsidR="00706040">
              <w:rPr>
                <w:rFonts w:cs="Arial"/>
                <w:bCs/>
                <w:sz w:val="24"/>
                <w:szCs w:val="24"/>
              </w:rPr>
              <w:t>3</w:t>
            </w:r>
            <w:r w:rsidR="001745EE" w:rsidRPr="004F7BFB">
              <w:rPr>
                <w:rFonts w:cs="Arial"/>
                <w:bCs/>
                <w:sz w:val="24"/>
                <w:szCs w:val="24"/>
              </w:rPr>
              <w:t xml:space="preserve"> del </w:t>
            </w:r>
            <w:r w:rsidR="001745EE" w:rsidRPr="00C168A3">
              <w:rPr>
                <w:rFonts w:cs="Arial"/>
                <w:iCs/>
                <w:sz w:val="24"/>
                <w:szCs w:val="24"/>
              </w:rPr>
              <w:t>Reglamento de Crédito y Leasing Habitacional en el Fondo Nacional del Ahorro</w:t>
            </w:r>
            <w:r w:rsidR="00C94E4C">
              <w:rPr>
                <w:rFonts w:cs="Arial"/>
                <w:iCs/>
                <w:sz w:val="24"/>
                <w:szCs w:val="24"/>
              </w:rPr>
              <w:t>.</w:t>
            </w:r>
          </w:p>
          <w:p w14:paraId="4FD26655" w14:textId="77777777" w:rsidR="00C94E4C" w:rsidRDefault="00C94E4C" w:rsidP="00353B58">
            <w:pPr>
              <w:jc w:val="both"/>
              <w:rPr>
                <w:rFonts w:cs="Arial"/>
                <w:iCs/>
                <w:sz w:val="24"/>
                <w:szCs w:val="24"/>
              </w:rPr>
            </w:pPr>
          </w:p>
          <w:p w14:paraId="55ACAFCE" w14:textId="77777777" w:rsidR="00205F69" w:rsidRDefault="00BE1876" w:rsidP="00C94E4C">
            <w:pPr>
              <w:jc w:val="both"/>
              <w:rPr>
                <w:rFonts w:cs="Arial"/>
                <w:bCs/>
                <w:sz w:val="24"/>
                <w:szCs w:val="24"/>
              </w:rPr>
            </w:pPr>
            <w:r>
              <w:rPr>
                <w:rFonts w:cs="Arial"/>
                <w:iCs/>
                <w:sz w:val="24"/>
                <w:szCs w:val="24"/>
              </w:rPr>
              <w:t>No obstante lo anterior, q</w:t>
            </w:r>
            <w:r w:rsidR="001745EE">
              <w:rPr>
                <w:rFonts w:cs="Arial"/>
                <w:iCs/>
                <w:sz w:val="24"/>
                <w:szCs w:val="24"/>
              </w:rPr>
              <w:t>uedan vigentes algunas disposiciones</w:t>
            </w:r>
            <w:r w:rsidR="00C94E4C">
              <w:rPr>
                <w:rFonts w:cs="Arial"/>
                <w:iCs/>
                <w:sz w:val="24"/>
                <w:szCs w:val="24"/>
              </w:rPr>
              <w:t xml:space="preserve"> el Acuerdo 2275 de 2019</w:t>
            </w:r>
            <w:r w:rsidR="001745EE">
              <w:rPr>
                <w:rFonts w:cs="Arial"/>
                <w:iCs/>
                <w:sz w:val="24"/>
                <w:szCs w:val="24"/>
              </w:rPr>
              <w:t xml:space="preserve"> que se requieren para la administración de las </w:t>
            </w:r>
            <w:r w:rsidR="00C94E4C">
              <w:rPr>
                <w:rFonts w:cs="Arial"/>
                <w:iCs/>
                <w:sz w:val="24"/>
                <w:szCs w:val="24"/>
              </w:rPr>
              <w:t>operaciones de crédito constructor</w:t>
            </w:r>
            <w:r w:rsidR="001745EE">
              <w:rPr>
                <w:rFonts w:cs="Arial"/>
                <w:iCs/>
                <w:sz w:val="24"/>
                <w:szCs w:val="24"/>
              </w:rPr>
              <w:t xml:space="preserve"> que continúan hasta su cancelación</w:t>
            </w:r>
            <w:r w:rsidR="00C94E4C">
              <w:rPr>
                <w:rFonts w:cs="Arial"/>
                <w:iCs/>
                <w:sz w:val="24"/>
                <w:szCs w:val="24"/>
              </w:rPr>
              <w:t>.</w:t>
            </w:r>
            <w:r w:rsidR="001745EE">
              <w:rPr>
                <w:rFonts w:cs="Arial"/>
                <w:bCs/>
                <w:sz w:val="24"/>
                <w:szCs w:val="24"/>
              </w:rPr>
              <w:t xml:space="preserve"> </w:t>
            </w:r>
          </w:p>
          <w:p w14:paraId="5CE16560" w14:textId="77777777" w:rsidR="00C94E4C" w:rsidRPr="0009232C" w:rsidRDefault="00C94E4C" w:rsidP="00C94E4C">
            <w:pPr>
              <w:jc w:val="both"/>
              <w:rPr>
                <w:b/>
              </w:rPr>
            </w:pPr>
          </w:p>
        </w:tc>
      </w:tr>
      <w:tr w:rsidR="00A56AE8" w:rsidRPr="0086453F" w14:paraId="7F564180" w14:textId="77777777" w:rsidTr="004A33FE">
        <w:trPr>
          <w:trHeight w:val="841"/>
        </w:trPr>
        <w:tc>
          <w:tcPr>
            <w:tcW w:w="8977" w:type="dxa"/>
          </w:tcPr>
          <w:p w14:paraId="441CA6A9" w14:textId="1CE6DB0A" w:rsidR="00123739" w:rsidRDefault="00557544" w:rsidP="00711B7D">
            <w:pPr>
              <w:spacing w:before="100" w:beforeAutospacing="1" w:after="100" w:afterAutospacing="1"/>
              <w:jc w:val="both"/>
              <w:rPr>
                <w:rFonts w:cs="Arial"/>
                <w:iCs/>
                <w:sz w:val="24"/>
                <w:szCs w:val="24"/>
              </w:rPr>
            </w:pPr>
            <w:r w:rsidRPr="009E301F">
              <w:rPr>
                <w:rFonts w:cs="Arial"/>
                <w:b/>
                <w:bCs/>
                <w:iCs/>
                <w:sz w:val="24"/>
                <w:szCs w:val="24"/>
              </w:rPr>
              <w:t>A</w:t>
            </w:r>
            <w:r w:rsidR="00D41EE3" w:rsidRPr="009E301F">
              <w:rPr>
                <w:rFonts w:cs="Arial"/>
                <w:b/>
                <w:bCs/>
                <w:iCs/>
                <w:sz w:val="24"/>
                <w:szCs w:val="24"/>
              </w:rPr>
              <w:t>ntecedentes y razones de oportunidad y conveniencia que justifican la expedición del proyecto</w:t>
            </w:r>
            <w:r w:rsidR="00A97DF9" w:rsidRPr="009E301F">
              <w:rPr>
                <w:rFonts w:cs="Arial"/>
                <w:b/>
                <w:bCs/>
                <w:iCs/>
                <w:sz w:val="24"/>
                <w:szCs w:val="24"/>
              </w:rPr>
              <w:t>.</w:t>
            </w:r>
            <w:r w:rsidR="00850C37" w:rsidRPr="009E301F">
              <w:rPr>
                <w:rFonts w:cs="Arial"/>
                <w:iCs/>
                <w:sz w:val="24"/>
                <w:szCs w:val="24"/>
              </w:rPr>
              <w:t xml:space="preserve"> </w:t>
            </w:r>
          </w:p>
          <w:p w14:paraId="3626F58A" w14:textId="77777777" w:rsidR="0028793E" w:rsidRPr="00FA31BE" w:rsidRDefault="0028793E" w:rsidP="0028793E">
            <w:pPr>
              <w:pStyle w:val="NormalWeb"/>
              <w:jc w:val="both"/>
              <w:rPr>
                <w:rFonts w:ascii="Arial" w:hAnsi="Arial" w:cs="Arial"/>
                <w:color w:val="000000"/>
              </w:rPr>
            </w:pPr>
            <w:r>
              <w:rPr>
                <w:rFonts w:ascii="Arial" w:hAnsi="Arial" w:cs="Arial"/>
                <w:color w:val="000000"/>
              </w:rPr>
              <w:t xml:space="preserve">La </w:t>
            </w:r>
            <w:r w:rsidRPr="00FA31BE">
              <w:rPr>
                <w:rFonts w:ascii="Arial" w:hAnsi="Arial" w:cs="Arial"/>
                <w:color w:val="000000"/>
              </w:rPr>
              <w:t>Ley 1469 del 30 de junio de 2011</w:t>
            </w:r>
            <w:r>
              <w:rPr>
                <w:rFonts w:ascii="Arial" w:hAnsi="Arial" w:cs="Arial"/>
                <w:color w:val="000000"/>
              </w:rPr>
              <w:t>, modificada por el artículo 48 de la ley 2079 de 2021, por medio de la cual se dictan disposiciones en materia de vivienda y hábitat,</w:t>
            </w:r>
            <w:r w:rsidRPr="00FA31BE">
              <w:rPr>
                <w:rFonts w:ascii="Arial" w:hAnsi="Arial" w:cs="Arial"/>
                <w:color w:val="000000"/>
              </w:rPr>
              <w:t xml:space="preserve"> </w:t>
            </w:r>
            <w:r>
              <w:rPr>
                <w:rFonts w:ascii="Arial" w:hAnsi="Arial" w:cs="Arial"/>
                <w:color w:val="000000"/>
              </w:rPr>
              <w:t xml:space="preserve">establece </w:t>
            </w:r>
            <w:r w:rsidRPr="00FA31BE">
              <w:rPr>
                <w:rFonts w:ascii="Arial" w:hAnsi="Arial" w:cs="Arial"/>
                <w:color w:val="000000"/>
              </w:rPr>
              <w:t>en su parágrafo segundo</w:t>
            </w:r>
            <w:r>
              <w:rPr>
                <w:rFonts w:ascii="Arial" w:hAnsi="Arial" w:cs="Arial"/>
                <w:color w:val="000000"/>
              </w:rPr>
              <w:t xml:space="preserve"> la</w:t>
            </w:r>
            <w:r w:rsidRPr="00FA31BE">
              <w:rPr>
                <w:rFonts w:ascii="Arial" w:hAnsi="Arial" w:cs="Arial"/>
                <w:color w:val="000000"/>
              </w:rPr>
              <w:t xml:space="preserve"> faculta</w:t>
            </w:r>
            <w:r>
              <w:rPr>
                <w:rFonts w:ascii="Arial" w:hAnsi="Arial" w:cs="Arial"/>
                <w:color w:val="000000"/>
              </w:rPr>
              <w:t>d del</w:t>
            </w:r>
            <w:r w:rsidRPr="00FA31BE">
              <w:rPr>
                <w:rFonts w:ascii="Arial" w:hAnsi="Arial" w:cs="Arial"/>
                <w:color w:val="000000"/>
              </w:rPr>
              <w:t xml:space="preserve"> Fondo para realizar operaciones de leasing habitacional destinadas a la adquisición de vivienda.</w:t>
            </w:r>
          </w:p>
          <w:p w14:paraId="5F61632F" w14:textId="77777777" w:rsidR="0028793E" w:rsidRDefault="0028793E" w:rsidP="00711B7D">
            <w:pPr>
              <w:spacing w:before="100" w:beforeAutospacing="1" w:after="100" w:afterAutospacing="1"/>
              <w:jc w:val="both"/>
              <w:rPr>
                <w:rFonts w:cs="Arial"/>
                <w:iCs/>
                <w:sz w:val="24"/>
                <w:szCs w:val="24"/>
              </w:rPr>
            </w:pPr>
          </w:p>
          <w:p w14:paraId="29E6BA18" w14:textId="68DCF192" w:rsidR="0028793E" w:rsidRDefault="00C54E6A" w:rsidP="0028793E">
            <w:pPr>
              <w:jc w:val="both"/>
              <w:rPr>
                <w:color w:val="000000"/>
                <w:sz w:val="24"/>
                <w:szCs w:val="24"/>
              </w:rPr>
            </w:pPr>
            <w:r>
              <w:rPr>
                <w:sz w:val="24"/>
                <w:szCs w:val="24"/>
              </w:rPr>
              <w:t>E</w:t>
            </w:r>
            <w:r w:rsidR="0028793E">
              <w:rPr>
                <w:sz w:val="24"/>
                <w:szCs w:val="24"/>
              </w:rPr>
              <w:t>l artículo 8 de</w:t>
            </w:r>
            <w:r w:rsidR="0028793E" w:rsidRPr="006649FB">
              <w:rPr>
                <w:sz w:val="24"/>
                <w:szCs w:val="24"/>
              </w:rPr>
              <w:t xml:space="preserve"> la ley 3 de 1991</w:t>
            </w:r>
            <w:r w:rsidR="0028793E">
              <w:rPr>
                <w:sz w:val="24"/>
                <w:szCs w:val="24"/>
              </w:rPr>
              <w:t>, modificado por la ley 1537 de 2012 y hoy por la ley 2079 de 2021</w:t>
            </w:r>
            <w:r w:rsidR="0028793E" w:rsidRPr="006649FB">
              <w:rPr>
                <w:sz w:val="24"/>
                <w:szCs w:val="24"/>
              </w:rPr>
              <w:t xml:space="preserve"> establecía como causal de restitución del subsidio familiar de </w:t>
            </w:r>
            <w:r w:rsidRPr="006649FB">
              <w:rPr>
                <w:sz w:val="24"/>
                <w:szCs w:val="24"/>
              </w:rPr>
              <w:t>vivienda</w:t>
            </w:r>
            <w:r>
              <w:rPr>
                <w:sz w:val="24"/>
                <w:szCs w:val="24"/>
              </w:rPr>
              <w:t xml:space="preserve"> cuando</w:t>
            </w:r>
            <w:r w:rsidR="0028793E">
              <w:rPr>
                <w:sz w:val="24"/>
                <w:szCs w:val="24"/>
              </w:rPr>
              <w:t xml:space="preserve"> l</w:t>
            </w:r>
            <w:r w:rsidR="0028793E" w:rsidRPr="006649FB">
              <w:rPr>
                <w:color w:val="000000"/>
                <w:sz w:val="24"/>
                <w:szCs w:val="24"/>
              </w:rPr>
              <w:t>os beneficiarios</w:t>
            </w:r>
            <w:r w:rsidR="0028793E">
              <w:rPr>
                <w:color w:val="000000"/>
                <w:sz w:val="24"/>
                <w:szCs w:val="24"/>
              </w:rPr>
              <w:t xml:space="preserve"> del mismo</w:t>
            </w:r>
            <w:r w:rsidR="0028793E" w:rsidRPr="006649FB">
              <w:rPr>
                <w:color w:val="000000"/>
                <w:sz w:val="24"/>
                <w:szCs w:val="24"/>
              </w:rPr>
              <w:t xml:space="preserve"> transf</w:t>
            </w:r>
            <w:r w:rsidR="0028793E">
              <w:rPr>
                <w:color w:val="000000"/>
                <w:sz w:val="24"/>
                <w:szCs w:val="24"/>
              </w:rPr>
              <w:t>erían</w:t>
            </w:r>
            <w:r w:rsidR="0028793E" w:rsidRPr="006649FB">
              <w:rPr>
                <w:color w:val="000000"/>
                <w:sz w:val="24"/>
                <w:szCs w:val="24"/>
              </w:rPr>
              <w:t xml:space="preserve"> cualquier derecho real sobre la solución de vivienda antes de haber transcurrido diez (10) años desde la fecha de su transferencia</w:t>
            </w:r>
            <w:r w:rsidR="0028793E">
              <w:rPr>
                <w:color w:val="000000"/>
                <w:sz w:val="24"/>
                <w:szCs w:val="24"/>
              </w:rPr>
              <w:t xml:space="preserve">. Adicionalmente, las entidades </w:t>
            </w:r>
            <w:r w:rsidR="0028793E" w:rsidRPr="006649FB">
              <w:rPr>
                <w:color w:val="000000"/>
                <w:sz w:val="24"/>
                <w:szCs w:val="24"/>
              </w:rPr>
              <w:t>otorgantes del Subsidio Familiar de Vivienda</w:t>
            </w:r>
            <w:r w:rsidR="0028793E">
              <w:rPr>
                <w:color w:val="000000"/>
                <w:sz w:val="24"/>
                <w:szCs w:val="24"/>
              </w:rPr>
              <w:t xml:space="preserve"> </w:t>
            </w:r>
            <w:r w:rsidR="0028793E" w:rsidRPr="006649FB">
              <w:rPr>
                <w:color w:val="000000"/>
                <w:sz w:val="24"/>
                <w:szCs w:val="24"/>
              </w:rPr>
              <w:t>ten</w:t>
            </w:r>
            <w:r w:rsidR="0028793E">
              <w:rPr>
                <w:color w:val="000000"/>
                <w:sz w:val="24"/>
                <w:szCs w:val="24"/>
              </w:rPr>
              <w:t xml:space="preserve">ían </w:t>
            </w:r>
            <w:r w:rsidR="0028793E" w:rsidRPr="006649FB">
              <w:rPr>
                <w:color w:val="000000"/>
                <w:sz w:val="24"/>
                <w:szCs w:val="24"/>
              </w:rPr>
              <w:t xml:space="preserve">derecho de preferencia para la compra de </w:t>
            </w:r>
            <w:r>
              <w:rPr>
                <w:color w:val="000000"/>
                <w:sz w:val="24"/>
                <w:szCs w:val="24"/>
              </w:rPr>
              <w:t xml:space="preserve">estos </w:t>
            </w:r>
            <w:r w:rsidRPr="006649FB">
              <w:rPr>
                <w:color w:val="000000"/>
                <w:sz w:val="24"/>
                <w:szCs w:val="24"/>
              </w:rPr>
              <w:t>inmuebles</w:t>
            </w:r>
            <w:r w:rsidR="0028793E">
              <w:rPr>
                <w:color w:val="000000"/>
                <w:sz w:val="24"/>
                <w:szCs w:val="24"/>
              </w:rPr>
              <w:t xml:space="preserve">; estas </w:t>
            </w:r>
            <w:r w:rsidR="0028793E" w:rsidRPr="006649FB">
              <w:rPr>
                <w:color w:val="000000"/>
                <w:sz w:val="24"/>
                <w:szCs w:val="24"/>
              </w:rPr>
              <w:t>restricci</w:t>
            </w:r>
            <w:r w:rsidR="0028793E">
              <w:rPr>
                <w:color w:val="000000"/>
                <w:sz w:val="24"/>
                <w:szCs w:val="24"/>
              </w:rPr>
              <w:t>ones -prohibición de enajenación y derecho de preferencia.</w:t>
            </w:r>
          </w:p>
          <w:p w14:paraId="1F0FB0F0" w14:textId="38039A5D" w:rsidR="0028793E" w:rsidRDefault="0028793E" w:rsidP="0028793E">
            <w:pPr>
              <w:jc w:val="both"/>
              <w:rPr>
                <w:color w:val="000000"/>
                <w:sz w:val="24"/>
                <w:szCs w:val="24"/>
              </w:rPr>
            </w:pPr>
          </w:p>
          <w:p w14:paraId="7D45BDF2" w14:textId="4AA5BC41" w:rsidR="0028793E" w:rsidRDefault="0028793E" w:rsidP="0028793E">
            <w:pPr>
              <w:jc w:val="both"/>
              <w:rPr>
                <w:color w:val="000000"/>
                <w:sz w:val="24"/>
                <w:szCs w:val="24"/>
              </w:rPr>
            </w:pPr>
            <w:r>
              <w:rPr>
                <w:color w:val="000000"/>
                <w:sz w:val="24"/>
                <w:szCs w:val="24"/>
              </w:rPr>
              <w:t xml:space="preserve">En virtud de esta disposición </w:t>
            </w:r>
            <w:r w:rsidR="00F80ADC">
              <w:rPr>
                <w:color w:val="000000"/>
                <w:sz w:val="24"/>
                <w:szCs w:val="24"/>
              </w:rPr>
              <w:t xml:space="preserve">el Reglamento de Crédito y Leasing Habitacional del FNA </w:t>
            </w:r>
            <w:r w:rsidR="00C54E6A">
              <w:rPr>
                <w:color w:val="000000"/>
                <w:sz w:val="24"/>
                <w:szCs w:val="24"/>
              </w:rPr>
              <w:t>establece</w:t>
            </w:r>
            <w:r w:rsidR="00F80ADC">
              <w:rPr>
                <w:color w:val="000000"/>
                <w:sz w:val="24"/>
                <w:szCs w:val="24"/>
              </w:rPr>
              <w:t xml:space="preserve"> en su numeral 3.2.11. </w:t>
            </w:r>
            <w:proofErr w:type="gramStart"/>
            <w:r w:rsidR="00F80ADC">
              <w:rPr>
                <w:color w:val="000000"/>
                <w:sz w:val="24"/>
                <w:szCs w:val="24"/>
              </w:rPr>
              <w:t>q</w:t>
            </w:r>
            <w:r w:rsidR="00C54E6A">
              <w:rPr>
                <w:color w:val="000000"/>
                <w:sz w:val="24"/>
                <w:szCs w:val="24"/>
              </w:rPr>
              <w:t>u</w:t>
            </w:r>
            <w:r w:rsidR="00F80ADC">
              <w:rPr>
                <w:color w:val="000000"/>
                <w:sz w:val="24"/>
                <w:szCs w:val="24"/>
              </w:rPr>
              <w:t>e</w:t>
            </w:r>
            <w:r w:rsidR="00C54E6A">
              <w:rPr>
                <w:color w:val="000000"/>
                <w:sz w:val="24"/>
                <w:szCs w:val="24"/>
              </w:rPr>
              <w:t xml:space="preserve">  “</w:t>
            </w:r>
            <w:proofErr w:type="gramEnd"/>
            <w:r w:rsidR="00C54E6A" w:rsidRPr="00C54E6A">
              <w:rPr>
                <w:i/>
                <w:iCs/>
                <w:color w:val="000000"/>
                <w:sz w:val="24"/>
                <w:szCs w:val="24"/>
              </w:rPr>
              <w:t>L</w:t>
            </w:r>
            <w:r w:rsidR="00F80ADC" w:rsidRPr="00C54E6A">
              <w:rPr>
                <w:i/>
                <w:iCs/>
                <w:color w:val="000000"/>
                <w:sz w:val="24"/>
                <w:szCs w:val="24"/>
              </w:rPr>
              <w:t xml:space="preserve">as operaciones de leasing </w:t>
            </w:r>
            <w:r w:rsidR="00C54E6A" w:rsidRPr="00C54E6A">
              <w:rPr>
                <w:i/>
                <w:iCs/>
                <w:color w:val="000000"/>
                <w:sz w:val="24"/>
                <w:szCs w:val="24"/>
              </w:rPr>
              <w:t>habitacional</w:t>
            </w:r>
            <w:r w:rsidR="00F80ADC" w:rsidRPr="00C54E6A">
              <w:rPr>
                <w:i/>
                <w:iCs/>
                <w:color w:val="000000"/>
                <w:sz w:val="24"/>
                <w:szCs w:val="24"/>
              </w:rPr>
              <w:t xml:space="preserve"> vigentes </w:t>
            </w:r>
            <w:r w:rsidR="00C54E6A" w:rsidRPr="00C54E6A">
              <w:rPr>
                <w:i/>
                <w:iCs/>
                <w:color w:val="000000"/>
                <w:sz w:val="24"/>
                <w:szCs w:val="24"/>
              </w:rPr>
              <w:t>con</w:t>
            </w:r>
            <w:r w:rsidR="00F80ADC" w:rsidRPr="00C54E6A">
              <w:rPr>
                <w:i/>
                <w:iCs/>
                <w:color w:val="000000"/>
                <w:sz w:val="24"/>
                <w:szCs w:val="24"/>
              </w:rPr>
              <w:t xml:space="preserve"> subsid</w:t>
            </w:r>
            <w:r w:rsidR="00C54E6A" w:rsidRPr="00C54E6A">
              <w:rPr>
                <w:i/>
                <w:iCs/>
                <w:color w:val="000000"/>
                <w:sz w:val="24"/>
                <w:szCs w:val="24"/>
              </w:rPr>
              <w:t>i</w:t>
            </w:r>
            <w:r w:rsidR="00F80ADC" w:rsidRPr="00C54E6A">
              <w:rPr>
                <w:i/>
                <w:iCs/>
                <w:color w:val="000000"/>
                <w:sz w:val="24"/>
                <w:szCs w:val="24"/>
              </w:rPr>
              <w:t xml:space="preserve">o, el derecho de dominio se </w:t>
            </w:r>
            <w:r w:rsidR="00C54E6A" w:rsidRPr="00C54E6A">
              <w:rPr>
                <w:i/>
                <w:iCs/>
                <w:color w:val="000000"/>
                <w:sz w:val="24"/>
                <w:szCs w:val="24"/>
              </w:rPr>
              <w:t>transferirá</w:t>
            </w:r>
            <w:r w:rsidR="00F80ADC" w:rsidRPr="00C54E6A">
              <w:rPr>
                <w:i/>
                <w:iCs/>
                <w:color w:val="000000"/>
                <w:sz w:val="24"/>
                <w:szCs w:val="24"/>
              </w:rPr>
              <w:t xml:space="preserve"> únicamente al locatario, cua</w:t>
            </w:r>
            <w:r w:rsidR="00C54E6A">
              <w:rPr>
                <w:i/>
                <w:iCs/>
                <w:color w:val="000000"/>
                <w:sz w:val="24"/>
                <w:szCs w:val="24"/>
              </w:rPr>
              <w:t>n</w:t>
            </w:r>
            <w:r w:rsidR="00F80ADC" w:rsidRPr="00C54E6A">
              <w:rPr>
                <w:i/>
                <w:iCs/>
                <w:color w:val="000000"/>
                <w:sz w:val="24"/>
                <w:szCs w:val="24"/>
              </w:rPr>
              <w:t xml:space="preserve">do </w:t>
            </w:r>
            <w:r w:rsidR="00C54E6A" w:rsidRPr="00C54E6A">
              <w:rPr>
                <w:i/>
                <w:iCs/>
                <w:color w:val="000000"/>
                <w:sz w:val="24"/>
                <w:szCs w:val="24"/>
              </w:rPr>
              <w:t>este</w:t>
            </w:r>
            <w:r w:rsidR="00F80ADC" w:rsidRPr="00C54E6A">
              <w:rPr>
                <w:i/>
                <w:iCs/>
                <w:color w:val="000000"/>
                <w:sz w:val="24"/>
                <w:szCs w:val="24"/>
              </w:rPr>
              <w:t xml:space="preserve"> ejerza la opción de </w:t>
            </w:r>
            <w:r w:rsidR="00C54E6A" w:rsidRPr="00C54E6A">
              <w:rPr>
                <w:i/>
                <w:iCs/>
                <w:color w:val="000000"/>
                <w:sz w:val="24"/>
                <w:szCs w:val="24"/>
              </w:rPr>
              <w:t>adquisición</w:t>
            </w:r>
            <w:r w:rsidR="00F80ADC">
              <w:rPr>
                <w:color w:val="000000"/>
                <w:sz w:val="24"/>
                <w:szCs w:val="24"/>
              </w:rPr>
              <w:t>…”</w:t>
            </w:r>
          </w:p>
          <w:p w14:paraId="5487870F" w14:textId="77777777" w:rsidR="0028793E" w:rsidRDefault="0028793E" w:rsidP="0028793E">
            <w:pPr>
              <w:jc w:val="both"/>
              <w:rPr>
                <w:color w:val="000000"/>
                <w:sz w:val="24"/>
                <w:szCs w:val="24"/>
              </w:rPr>
            </w:pPr>
          </w:p>
          <w:p w14:paraId="137DEE15" w14:textId="68CA270A" w:rsidR="0028793E" w:rsidRPr="00C07C0D" w:rsidRDefault="0028793E" w:rsidP="0028793E">
            <w:pPr>
              <w:jc w:val="both"/>
              <w:rPr>
                <w:rFonts w:ascii="Calibri" w:hAnsi="Calibri" w:cs="Calibri"/>
                <w:color w:val="000000"/>
                <w:sz w:val="24"/>
                <w:szCs w:val="24"/>
                <w:lang w:val="es-CO" w:eastAsia="es-CO"/>
              </w:rPr>
            </w:pPr>
            <w:r w:rsidRPr="00C07C0D">
              <w:rPr>
                <w:color w:val="000000"/>
                <w:sz w:val="24"/>
                <w:szCs w:val="24"/>
              </w:rPr>
              <w:t xml:space="preserve">No obstante lo anterior, </w:t>
            </w:r>
            <w:r>
              <w:rPr>
                <w:color w:val="000000"/>
                <w:sz w:val="24"/>
                <w:szCs w:val="24"/>
              </w:rPr>
              <w:t>la precitada</w:t>
            </w:r>
            <w:r w:rsidR="00C54E6A">
              <w:rPr>
                <w:color w:val="000000"/>
                <w:sz w:val="24"/>
                <w:szCs w:val="24"/>
              </w:rPr>
              <w:t xml:space="preserve"> ley 3 de 1991 </w:t>
            </w:r>
            <w:r w:rsidRPr="00C07C0D">
              <w:rPr>
                <w:color w:val="000000"/>
                <w:sz w:val="24"/>
                <w:szCs w:val="24"/>
              </w:rPr>
              <w:t>fue modificada por el artículo</w:t>
            </w:r>
            <w:r w:rsidRPr="00C07C0D">
              <w:rPr>
                <w:color w:val="000000"/>
                <w:sz w:val="24"/>
                <w:szCs w:val="24"/>
                <w:bdr w:val="none" w:sz="0" w:space="0" w:color="auto" w:frame="1"/>
              </w:rPr>
              <w:t xml:space="preserve"> 13 de la ley 2079 de 2021, por medio de la cual se dictan disposiciones en materia de vivienda y hábitat, </w:t>
            </w:r>
            <w:r>
              <w:rPr>
                <w:color w:val="000000"/>
                <w:sz w:val="24"/>
                <w:szCs w:val="24"/>
                <w:bdr w:val="none" w:sz="0" w:space="0" w:color="auto" w:frame="1"/>
              </w:rPr>
              <w:t xml:space="preserve">disposición que </w:t>
            </w:r>
            <w:r w:rsidRPr="00C07C0D">
              <w:rPr>
                <w:color w:val="000000"/>
                <w:sz w:val="24"/>
                <w:szCs w:val="24"/>
                <w:bdr w:val="none" w:sz="0" w:space="0" w:color="auto" w:frame="1"/>
              </w:rPr>
              <w:t>modifica las causales de restitución del subsidio familiar de vivienda y elimina la restricción de la prohibición de enajenación</w:t>
            </w:r>
            <w:r>
              <w:rPr>
                <w:color w:val="000000"/>
                <w:sz w:val="24"/>
                <w:szCs w:val="24"/>
                <w:bdr w:val="none" w:sz="0" w:space="0" w:color="auto" w:frame="1"/>
              </w:rPr>
              <w:t xml:space="preserve"> – solo queda para subsidio de vivienda otorgado a título 100% en especie-</w:t>
            </w:r>
            <w:r w:rsidRPr="00C07C0D">
              <w:rPr>
                <w:color w:val="000000"/>
                <w:sz w:val="24"/>
                <w:szCs w:val="24"/>
                <w:bdr w:val="none" w:sz="0" w:space="0" w:color="auto" w:frame="1"/>
              </w:rPr>
              <w:t xml:space="preserve"> y derecho de preferencia que ordenaba inscribir en el folio de matrícula del inmueble objeto del subsidio el art 8 de la ley 3 de 1991, modificado por la ley 1537 de 2012. Veamos:  </w:t>
            </w:r>
          </w:p>
          <w:p w14:paraId="61235A6B" w14:textId="77777777" w:rsidR="0028793E" w:rsidRDefault="0028793E" w:rsidP="0028793E">
            <w:pPr>
              <w:pStyle w:val="NormalWeb"/>
              <w:shd w:val="clear" w:color="auto" w:fill="FFFFFF"/>
              <w:spacing w:before="0" w:beforeAutospacing="0" w:after="160" w:afterAutospacing="0" w:line="235" w:lineRule="atLeast"/>
              <w:rPr>
                <w:rFonts w:ascii="Calibri" w:hAnsi="Calibri" w:cs="Calibri"/>
                <w:color w:val="000000"/>
                <w:sz w:val="22"/>
                <w:szCs w:val="22"/>
              </w:rPr>
            </w:pPr>
            <w:r>
              <w:rPr>
                <w:rFonts w:ascii="Calibri" w:hAnsi="Calibri" w:cs="Calibri"/>
                <w:color w:val="000000"/>
                <w:sz w:val="22"/>
                <w:szCs w:val="22"/>
              </w:rPr>
              <w:t> </w:t>
            </w:r>
          </w:p>
          <w:p w14:paraId="24509CF4" w14:textId="77777777" w:rsidR="0028793E" w:rsidRDefault="0028793E" w:rsidP="0028793E">
            <w:pPr>
              <w:pStyle w:val="NormalWeb"/>
              <w:shd w:val="clear" w:color="auto" w:fill="FFFFFF"/>
              <w:spacing w:before="0" w:beforeAutospacing="0" w:after="0" w:afterAutospacing="0" w:line="235" w:lineRule="atLeast"/>
              <w:ind w:left="709" w:right="397"/>
              <w:jc w:val="both"/>
              <w:rPr>
                <w:rFonts w:ascii="Calibri" w:hAnsi="Calibri" w:cs="Calibri"/>
                <w:color w:val="000000"/>
                <w:sz w:val="22"/>
                <w:szCs w:val="22"/>
              </w:rPr>
            </w:pPr>
            <w:r>
              <w:rPr>
                <w:rFonts w:ascii="Arial" w:hAnsi="Arial" w:cs="Arial"/>
                <w:i/>
                <w:iCs/>
                <w:color w:val="000000"/>
                <w:sz w:val="20"/>
                <w:szCs w:val="20"/>
                <w:bdr w:val="none" w:sz="0" w:space="0" w:color="auto" w:frame="1"/>
              </w:rPr>
              <w:t>Artículo 13. CAUSALES DE RESTITUCIÓN DEL SUBSIDIO DE VIVIENDA. Modifíquese el artículo 8 de la Ley 3 de 1991, modificado por el artículo 21 de la Ley 1537 de 2012, el cual quedará así:  </w:t>
            </w:r>
          </w:p>
          <w:p w14:paraId="43A20D90" w14:textId="77777777" w:rsidR="0028793E" w:rsidRDefault="0028793E" w:rsidP="0028793E">
            <w:pPr>
              <w:pStyle w:val="NormalWeb"/>
              <w:shd w:val="clear" w:color="auto" w:fill="FFFFFF"/>
              <w:spacing w:before="0" w:beforeAutospacing="0" w:after="0" w:afterAutospacing="0" w:line="235" w:lineRule="atLeast"/>
              <w:ind w:left="709" w:right="397"/>
              <w:jc w:val="both"/>
              <w:rPr>
                <w:rFonts w:ascii="Calibri" w:hAnsi="Calibri" w:cs="Calibri"/>
                <w:color w:val="000000"/>
                <w:sz w:val="22"/>
                <w:szCs w:val="22"/>
              </w:rPr>
            </w:pPr>
            <w:r>
              <w:rPr>
                <w:rFonts w:ascii="Arial" w:hAnsi="Arial" w:cs="Arial"/>
                <w:i/>
                <w:iCs/>
                <w:color w:val="000000"/>
                <w:sz w:val="20"/>
                <w:szCs w:val="20"/>
                <w:bdr w:val="none" w:sz="0" w:space="0" w:color="auto" w:frame="1"/>
              </w:rPr>
              <w:t>"Artículo 8°. Causales de restitución del Subsidio Familiar de Vivienda. </w:t>
            </w:r>
            <w:r>
              <w:rPr>
                <w:rFonts w:ascii="Arial" w:hAnsi="Arial" w:cs="Arial"/>
                <w:b/>
                <w:bCs/>
                <w:i/>
                <w:iCs/>
                <w:color w:val="000000"/>
                <w:sz w:val="20"/>
                <w:szCs w:val="20"/>
                <w:bdr w:val="none" w:sz="0" w:space="0" w:color="auto" w:frame="1"/>
              </w:rPr>
              <w:t>El subsidio familiar de vivienda será restituible sí se comprueba que existió falsedad en los documentos presentados para acreditar los requisitos establecidos, para la asignación. </w:t>
            </w:r>
            <w:r>
              <w:rPr>
                <w:rFonts w:ascii="Arial" w:hAnsi="Arial" w:cs="Arial"/>
                <w:i/>
                <w:iCs/>
                <w:color w:val="000000"/>
                <w:sz w:val="20"/>
                <w:szCs w:val="20"/>
                <w:bdr w:val="none" w:sz="0" w:space="0" w:color="auto" w:frame="1"/>
              </w:rPr>
              <w:t> </w:t>
            </w:r>
          </w:p>
          <w:p w14:paraId="3AEF2DBF" w14:textId="77777777" w:rsidR="0028793E" w:rsidRDefault="0028793E" w:rsidP="0028793E">
            <w:pPr>
              <w:pStyle w:val="NormalWeb"/>
              <w:shd w:val="clear" w:color="auto" w:fill="FFFFFF"/>
              <w:spacing w:before="0" w:beforeAutospacing="0" w:after="0" w:afterAutospacing="0" w:line="235" w:lineRule="atLeast"/>
              <w:ind w:left="709" w:right="397"/>
              <w:jc w:val="both"/>
              <w:rPr>
                <w:rFonts w:ascii="Calibri" w:hAnsi="Calibri" w:cs="Calibri"/>
                <w:color w:val="000000"/>
                <w:sz w:val="22"/>
                <w:szCs w:val="22"/>
              </w:rPr>
            </w:pPr>
            <w:r>
              <w:rPr>
                <w:rFonts w:ascii="Arial" w:hAnsi="Arial" w:cs="Arial"/>
                <w:i/>
                <w:iCs/>
                <w:color w:val="000000"/>
                <w:sz w:val="20"/>
                <w:szCs w:val="20"/>
                <w:bdr w:val="none" w:sz="0" w:space="0" w:color="auto" w:frame="1"/>
              </w:rPr>
              <w:t>Adicionalmente, </w:t>
            </w:r>
            <w:r>
              <w:rPr>
                <w:rFonts w:ascii="Arial" w:hAnsi="Arial" w:cs="Arial"/>
                <w:b/>
                <w:bCs/>
                <w:i/>
                <w:iCs/>
                <w:color w:val="000000"/>
                <w:sz w:val="20"/>
                <w:szCs w:val="20"/>
                <w:bdr w:val="none" w:sz="0" w:space="0" w:color="auto" w:frame="1"/>
              </w:rPr>
              <w:t>el subsidio familiar de vivienda otorgado a título 100% en especie seré restituible al Estado cuando los beneficiarios transfieran cualquier derecho real sobre la solución de vivienda o dejen de residir en ella antes de haber transcurrido cinco (5) años desde la fecha de su transferencia, excepto cuando medie permiso específico fundamentado en razones de fuerza mayor definidas por el reglamento</w:t>
            </w:r>
            <w:r>
              <w:rPr>
                <w:rFonts w:ascii="Arial" w:hAnsi="Arial" w:cs="Arial"/>
                <w:i/>
                <w:iCs/>
                <w:color w:val="000000"/>
                <w:sz w:val="20"/>
                <w:szCs w:val="20"/>
                <w:bdr w:val="none" w:sz="0" w:space="0" w:color="auto" w:frame="1"/>
              </w:rPr>
              <w:t>. </w:t>
            </w:r>
          </w:p>
          <w:p w14:paraId="04BAC977" w14:textId="77777777" w:rsidR="0028793E" w:rsidRDefault="0028793E" w:rsidP="0028793E">
            <w:pPr>
              <w:pStyle w:val="NormalWeb"/>
              <w:shd w:val="clear" w:color="auto" w:fill="FFFFFF"/>
              <w:spacing w:before="0" w:beforeAutospacing="0" w:after="0" w:afterAutospacing="0" w:line="235" w:lineRule="atLeast"/>
              <w:ind w:left="709" w:right="397"/>
              <w:jc w:val="both"/>
              <w:rPr>
                <w:rFonts w:ascii="Calibri" w:hAnsi="Calibri" w:cs="Calibri"/>
                <w:color w:val="000000"/>
                <w:sz w:val="22"/>
                <w:szCs w:val="22"/>
              </w:rPr>
            </w:pPr>
            <w:r>
              <w:rPr>
                <w:rFonts w:ascii="Arial" w:hAnsi="Arial" w:cs="Arial"/>
                <w:i/>
                <w:iCs/>
                <w:color w:val="000000"/>
                <w:sz w:val="20"/>
                <w:szCs w:val="20"/>
                <w:bdr w:val="none" w:sz="0" w:space="0" w:color="auto" w:frame="1"/>
              </w:rPr>
              <w:t>También </w:t>
            </w:r>
            <w:r>
              <w:rPr>
                <w:rFonts w:ascii="Arial" w:hAnsi="Arial" w:cs="Arial"/>
                <w:b/>
                <w:bCs/>
                <w:i/>
                <w:iCs/>
                <w:color w:val="000000"/>
                <w:sz w:val="20"/>
                <w:szCs w:val="20"/>
                <w:bdr w:val="none" w:sz="0" w:space="0" w:color="auto" w:frame="1"/>
              </w:rPr>
              <w:t>será restituible cuando se compruebe por medio de autoridad competente, en el mismo periodo mencionado en el inciso anterior, que las viviendas otorgadas a través del subsidio 100% en especie han sido utilizadas de forma permanente o temporal como medio o instrumento para la comisión de actividades ilícitas. </w:t>
            </w:r>
            <w:r>
              <w:rPr>
                <w:rFonts w:ascii="Arial" w:hAnsi="Arial" w:cs="Arial"/>
                <w:i/>
                <w:iCs/>
                <w:color w:val="000000"/>
                <w:sz w:val="20"/>
                <w:szCs w:val="20"/>
                <w:bdr w:val="none" w:sz="0" w:space="0" w:color="auto" w:frame="1"/>
              </w:rPr>
              <w:t>En este último caso, la restitución procederá sin perjuicio de que se adelanten las investigaciones penales a que haya lugar o en los eventos en los que aún iniciadas no se cuente con decisión judicial, </w:t>
            </w:r>
          </w:p>
          <w:p w14:paraId="0CCF7BE0" w14:textId="77777777" w:rsidR="0028793E" w:rsidRDefault="0028793E" w:rsidP="0028793E">
            <w:pPr>
              <w:pStyle w:val="NormalWeb"/>
              <w:shd w:val="clear" w:color="auto" w:fill="FFFFFF"/>
              <w:spacing w:before="0" w:beforeAutospacing="0" w:after="0" w:afterAutospacing="0" w:line="235" w:lineRule="atLeast"/>
              <w:ind w:left="709" w:right="397"/>
              <w:jc w:val="both"/>
              <w:rPr>
                <w:rFonts w:ascii="Calibri" w:hAnsi="Calibri" w:cs="Calibri"/>
                <w:color w:val="000000"/>
                <w:sz w:val="22"/>
                <w:szCs w:val="22"/>
              </w:rPr>
            </w:pPr>
            <w:r>
              <w:rPr>
                <w:rFonts w:ascii="Arial" w:hAnsi="Arial" w:cs="Arial"/>
                <w:i/>
                <w:iCs/>
                <w:color w:val="000000"/>
                <w:sz w:val="20"/>
                <w:szCs w:val="20"/>
                <w:bdr w:val="none" w:sz="0" w:space="0" w:color="auto" w:frame="1"/>
              </w:rPr>
              <w:t>…(.) </w:t>
            </w:r>
          </w:p>
          <w:p w14:paraId="0ED00935" w14:textId="77777777" w:rsidR="0028793E" w:rsidRDefault="0028793E" w:rsidP="0028793E">
            <w:pPr>
              <w:pStyle w:val="NormalWeb"/>
              <w:shd w:val="clear" w:color="auto" w:fill="FFFFFF"/>
              <w:spacing w:before="0" w:beforeAutospacing="0" w:after="0" w:afterAutospacing="0" w:line="235" w:lineRule="atLeast"/>
              <w:ind w:left="709" w:right="397"/>
              <w:jc w:val="both"/>
              <w:rPr>
                <w:rFonts w:ascii="Calibri" w:hAnsi="Calibri" w:cs="Calibri"/>
                <w:color w:val="000000"/>
                <w:sz w:val="22"/>
                <w:szCs w:val="22"/>
              </w:rPr>
            </w:pPr>
            <w:r>
              <w:rPr>
                <w:rFonts w:ascii="Arial" w:hAnsi="Arial" w:cs="Arial"/>
                <w:i/>
                <w:iCs/>
                <w:color w:val="000000"/>
                <w:sz w:val="20"/>
                <w:szCs w:val="20"/>
                <w:bdr w:val="none" w:sz="0" w:space="0" w:color="auto" w:frame="1"/>
              </w:rPr>
              <w:t>Parágrafo 3°, Con la entrada en vigencia de la presente ley, </w:t>
            </w:r>
            <w:r>
              <w:rPr>
                <w:rFonts w:ascii="Arial" w:hAnsi="Arial" w:cs="Arial"/>
                <w:b/>
                <w:bCs/>
                <w:i/>
                <w:iCs/>
                <w:color w:val="000000"/>
                <w:sz w:val="20"/>
                <w:szCs w:val="20"/>
                <w:bdr w:val="none" w:sz="0" w:space="0" w:color="auto" w:frame="1"/>
              </w:rPr>
              <w:t>la prohibición de trasferencia solo aplica para los subsidios a título 100% en especie, por lo cual se entienden exentas de esta prohibición las demás modalidades de operación del subsidio familiar de vivienda. </w:t>
            </w:r>
          </w:p>
          <w:p w14:paraId="5DFDFF02" w14:textId="77777777" w:rsidR="0028793E" w:rsidRDefault="0028793E" w:rsidP="0028793E">
            <w:pPr>
              <w:pStyle w:val="NormalWeb"/>
              <w:shd w:val="clear" w:color="auto" w:fill="FFFFFF"/>
              <w:spacing w:before="0" w:beforeAutospacing="0" w:after="0" w:afterAutospacing="0" w:line="235" w:lineRule="atLeast"/>
              <w:ind w:left="709" w:right="397"/>
              <w:jc w:val="both"/>
              <w:rPr>
                <w:rFonts w:ascii="Calibri" w:hAnsi="Calibri" w:cs="Calibri"/>
                <w:color w:val="000000"/>
                <w:sz w:val="22"/>
                <w:szCs w:val="22"/>
              </w:rPr>
            </w:pPr>
            <w:r>
              <w:rPr>
                <w:rFonts w:ascii="Arial" w:hAnsi="Arial" w:cs="Arial"/>
                <w:b/>
                <w:bCs/>
                <w:i/>
                <w:iCs/>
                <w:color w:val="000000"/>
                <w:sz w:val="20"/>
                <w:szCs w:val="20"/>
                <w:u w:val="single"/>
                <w:bdr w:val="none" w:sz="0" w:space="0" w:color="auto" w:frame="1"/>
              </w:rPr>
              <w:lastRenderedPageBreak/>
              <w:t>Parágrafo transitorio. Las modificaciones contenidas en esta disposición beneficiarán a los hogares que hubieren recibido el subsidio con anterioridad a su promulgación. En este sentido, se podrá realizar la disminución en sus años de aplicación en el caso del subsidio familiar de vivienda 100% en especie o el levantamiento de la prohibición de transferencia para todas las demás modalidades del subsidio en los folios de matrícula inmobiliaria, acto que se encontrará exento del pago de derechos registrales."  </w:t>
            </w:r>
          </w:p>
          <w:p w14:paraId="2E0DCA36" w14:textId="712CCA89" w:rsidR="00711B7D" w:rsidRDefault="00F80ADC" w:rsidP="00C54E6A">
            <w:pPr>
              <w:spacing w:before="100" w:beforeAutospacing="1" w:after="100" w:afterAutospacing="1"/>
              <w:jc w:val="both"/>
              <w:rPr>
                <w:rFonts w:cs="Arial"/>
                <w:iCs/>
                <w:sz w:val="24"/>
                <w:szCs w:val="24"/>
              </w:rPr>
            </w:pPr>
            <w:r>
              <w:rPr>
                <w:rFonts w:cs="Arial"/>
                <w:iCs/>
                <w:sz w:val="24"/>
                <w:szCs w:val="24"/>
              </w:rPr>
              <w:t>A</w:t>
            </w:r>
            <w:r w:rsidR="0028793E">
              <w:rPr>
                <w:rFonts w:cs="Arial"/>
                <w:iCs/>
                <w:sz w:val="24"/>
                <w:szCs w:val="24"/>
              </w:rPr>
              <w:t>sí las cosas, se de</w:t>
            </w:r>
            <w:r>
              <w:rPr>
                <w:rFonts w:cs="Arial"/>
                <w:iCs/>
                <w:sz w:val="24"/>
                <w:szCs w:val="24"/>
              </w:rPr>
              <w:t>b</w:t>
            </w:r>
            <w:r w:rsidR="0028793E">
              <w:rPr>
                <w:rFonts w:cs="Arial"/>
                <w:iCs/>
                <w:sz w:val="24"/>
                <w:szCs w:val="24"/>
              </w:rPr>
              <w:t>e</w:t>
            </w:r>
            <w:r w:rsidR="002D201C" w:rsidRPr="009E301F">
              <w:rPr>
                <w:rFonts w:cs="Arial"/>
                <w:iCs/>
                <w:sz w:val="24"/>
                <w:szCs w:val="24"/>
              </w:rPr>
              <w:t xml:space="preserve"> </w:t>
            </w:r>
            <w:r w:rsidR="00192589" w:rsidRPr="009E301F">
              <w:rPr>
                <w:rFonts w:cs="Arial"/>
                <w:iCs/>
                <w:sz w:val="24"/>
                <w:szCs w:val="24"/>
              </w:rPr>
              <w:t>modifica</w:t>
            </w:r>
            <w:r w:rsidR="00C54E6A">
              <w:rPr>
                <w:rFonts w:cs="Arial"/>
                <w:iCs/>
                <w:sz w:val="24"/>
                <w:szCs w:val="24"/>
              </w:rPr>
              <w:t>r</w:t>
            </w:r>
            <w:r w:rsidR="00436ACD" w:rsidRPr="009E301F">
              <w:rPr>
                <w:rFonts w:cs="Arial"/>
                <w:iCs/>
                <w:sz w:val="24"/>
                <w:szCs w:val="24"/>
              </w:rPr>
              <w:t xml:space="preserve"> la última versión del Reglamento de Crédito y Leasing Habitacional</w:t>
            </w:r>
            <w:r w:rsidR="00490E5A">
              <w:rPr>
                <w:rFonts w:cs="Arial"/>
                <w:iCs/>
                <w:sz w:val="24"/>
                <w:szCs w:val="24"/>
              </w:rPr>
              <w:t xml:space="preserve"> del FNA</w:t>
            </w:r>
            <w:r w:rsidR="00436ACD" w:rsidRPr="009E301F">
              <w:rPr>
                <w:rFonts w:cs="Arial"/>
                <w:iCs/>
                <w:sz w:val="24"/>
                <w:szCs w:val="24"/>
              </w:rPr>
              <w:t xml:space="preserve">, con el fin </w:t>
            </w:r>
            <w:r w:rsidR="009E301F" w:rsidRPr="009E301F">
              <w:rPr>
                <w:rFonts w:cs="Arial"/>
                <w:iCs/>
                <w:sz w:val="24"/>
                <w:szCs w:val="24"/>
              </w:rPr>
              <w:t>de armoniz</w:t>
            </w:r>
            <w:r w:rsidR="00490E5A">
              <w:rPr>
                <w:rFonts w:cs="Arial"/>
                <w:iCs/>
                <w:sz w:val="24"/>
                <w:szCs w:val="24"/>
              </w:rPr>
              <w:t xml:space="preserve">arlo </w:t>
            </w:r>
            <w:r w:rsidR="009E301F" w:rsidRPr="009E301F">
              <w:rPr>
                <w:rFonts w:cs="Arial"/>
                <w:iCs/>
                <w:sz w:val="24"/>
                <w:szCs w:val="24"/>
              </w:rPr>
              <w:t xml:space="preserve">con lo dispuesto en la Ley 2079 de 2021 y el </w:t>
            </w:r>
            <w:r w:rsidR="009E301F">
              <w:rPr>
                <w:rFonts w:cs="Arial"/>
                <w:iCs/>
                <w:sz w:val="24"/>
                <w:szCs w:val="24"/>
              </w:rPr>
              <w:t>D</w:t>
            </w:r>
            <w:r w:rsidR="009E301F" w:rsidRPr="009E301F">
              <w:rPr>
                <w:rFonts w:cs="Arial"/>
                <w:iCs/>
                <w:sz w:val="24"/>
                <w:szCs w:val="24"/>
              </w:rPr>
              <w:t>ecreto 739 de 202</w:t>
            </w:r>
            <w:r w:rsidR="00C54E6A">
              <w:rPr>
                <w:rFonts w:cs="Arial"/>
                <w:iCs/>
                <w:sz w:val="24"/>
                <w:szCs w:val="24"/>
              </w:rPr>
              <w:t>1.</w:t>
            </w:r>
          </w:p>
          <w:p w14:paraId="10895388" w14:textId="3BBF1ECF" w:rsidR="00C54E6A" w:rsidRPr="0086453F" w:rsidRDefault="00C54E6A" w:rsidP="00C54E6A">
            <w:pPr>
              <w:spacing w:before="100" w:beforeAutospacing="1" w:after="100" w:afterAutospacing="1"/>
              <w:jc w:val="both"/>
              <w:rPr>
                <w:rFonts w:cs="Arial"/>
              </w:rPr>
            </w:pPr>
          </w:p>
        </w:tc>
      </w:tr>
      <w:tr w:rsidR="00A56AE8" w14:paraId="1C495618" w14:textId="77777777" w:rsidTr="00692C91">
        <w:trPr>
          <w:trHeight w:val="813"/>
        </w:trPr>
        <w:tc>
          <w:tcPr>
            <w:tcW w:w="8977" w:type="dxa"/>
          </w:tcPr>
          <w:p w14:paraId="2B1BB513" w14:textId="59461B3E" w:rsidR="005902B8" w:rsidRDefault="00557544" w:rsidP="00B44160">
            <w:pPr>
              <w:jc w:val="both"/>
              <w:rPr>
                <w:rFonts w:cs="Arial"/>
                <w:sz w:val="24"/>
                <w:szCs w:val="24"/>
              </w:rPr>
            </w:pPr>
            <w:r w:rsidRPr="008A563D">
              <w:rPr>
                <w:rFonts w:cs="Arial"/>
                <w:b/>
                <w:sz w:val="24"/>
                <w:szCs w:val="24"/>
              </w:rPr>
              <w:lastRenderedPageBreak/>
              <w:t>AMBITO DE APLICACIÓN DEL RESPECTIVO ACTO Y SUJETO A QUIEN VA DIRIGIDO</w:t>
            </w:r>
            <w:r>
              <w:rPr>
                <w:rFonts w:cs="Arial"/>
                <w:b/>
                <w:sz w:val="24"/>
                <w:szCs w:val="24"/>
              </w:rPr>
              <w:t>:</w:t>
            </w:r>
            <w:r w:rsidR="004F7BFB">
              <w:rPr>
                <w:rFonts w:cs="Arial"/>
                <w:b/>
                <w:sz w:val="24"/>
                <w:szCs w:val="24"/>
              </w:rPr>
              <w:t xml:space="preserve"> </w:t>
            </w:r>
            <w:r w:rsidR="004F7BFB" w:rsidRPr="004F7BFB">
              <w:rPr>
                <w:rFonts w:cs="Arial"/>
                <w:sz w:val="24"/>
                <w:szCs w:val="24"/>
              </w:rPr>
              <w:t>El proyecto va dirigido a los afiliados al Fondo Nacional del Ahorro</w:t>
            </w:r>
            <w:r w:rsidR="00AD039D">
              <w:rPr>
                <w:rFonts w:cs="Arial"/>
                <w:sz w:val="24"/>
                <w:szCs w:val="24"/>
              </w:rPr>
              <w:t xml:space="preserve"> y usuarios de crédito hipotecario y leasing habitacional. </w:t>
            </w:r>
          </w:p>
          <w:p w14:paraId="60FE7131" w14:textId="77777777" w:rsidR="00DD2066" w:rsidRDefault="00DD2066" w:rsidP="00B44160">
            <w:pPr>
              <w:jc w:val="both"/>
            </w:pPr>
          </w:p>
        </w:tc>
      </w:tr>
      <w:tr w:rsidR="00A56AE8" w14:paraId="7605A444" w14:textId="77777777" w:rsidTr="00692C91">
        <w:trPr>
          <w:trHeight w:val="414"/>
        </w:trPr>
        <w:tc>
          <w:tcPr>
            <w:tcW w:w="8977" w:type="dxa"/>
          </w:tcPr>
          <w:p w14:paraId="4478A2C5" w14:textId="77777777" w:rsidR="009F5EF8" w:rsidRPr="009F5EF8" w:rsidRDefault="00FD3B2A" w:rsidP="008D600D">
            <w:pPr>
              <w:pStyle w:val="Ttulo2"/>
              <w:ind w:right="72"/>
              <w:jc w:val="both"/>
              <w:outlineLvl w:val="1"/>
            </w:pPr>
            <w:r w:rsidRPr="00CD06A4">
              <w:rPr>
                <w:rFonts w:cs="Arial"/>
                <w:sz w:val="24"/>
                <w:szCs w:val="24"/>
              </w:rPr>
              <w:t>VIABILIDAD JURÍDICA</w:t>
            </w:r>
            <w:r>
              <w:rPr>
                <w:rFonts w:cs="Arial"/>
                <w:b w:val="0"/>
                <w:sz w:val="24"/>
                <w:szCs w:val="24"/>
              </w:rPr>
              <w:t xml:space="preserve">: </w:t>
            </w:r>
            <w:r w:rsidR="0008483B">
              <w:rPr>
                <w:rFonts w:cs="Arial"/>
                <w:b w:val="0"/>
                <w:sz w:val="24"/>
                <w:szCs w:val="24"/>
              </w:rPr>
              <w:t>El proyecto de acuerdo cuenta con viabilidad jurídica</w:t>
            </w:r>
            <w:r w:rsidR="00B44160">
              <w:rPr>
                <w:rFonts w:cs="Arial"/>
                <w:b w:val="0"/>
                <w:sz w:val="24"/>
                <w:szCs w:val="24"/>
              </w:rPr>
              <w:t>.</w:t>
            </w:r>
          </w:p>
          <w:p w14:paraId="6309476A" w14:textId="77777777" w:rsidR="00211908" w:rsidRPr="00692C91" w:rsidRDefault="00211908" w:rsidP="009C2732">
            <w:pPr>
              <w:jc w:val="both"/>
              <w:rPr>
                <w:lang w:val="es-CO"/>
              </w:rPr>
            </w:pPr>
          </w:p>
        </w:tc>
      </w:tr>
      <w:tr w:rsidR="00A56AE8" w14:paraId="2972569C" w14:textId="77777777" w:rsidTr="009C2732">
        <w:trPr>
          <w:trHeight w:val="511"/>
        </w:trPr>
        <w:tc>
          <w:tcPr>
            <w:tcW w:w="8977" w:type="dxa"/>
          </w:tcPr>
          <w:p w14:paraId="517BC115" w14:textId="77777777" w:rsidR="00AA6BD0" w:rsidRPr="00015310" w:rsidRDefault="00AA6BD0" w:rsidP="009C2732">
            <w:pPr>
              <w:rPr>
                <w:rFonts w:cs="Arial"/>
                <w:sz w:val="24"/>
                <w:szCs w:val="24"/>
              </w:rPr>
            </w:pPr>
            <w:r w:rsidRPr="008A563D">
              <w:rPr>
                <w:rFonts w:cs="Arial"/>
                <w:b/>
                <w:sz w:val="24"/>
                <w:szCs w:val="24"/>
              </w:rPr>
              <w:t>IMPACTO ECONÓMICO</w:t>
            </w:r>
            <w:r w:rsidR="005203A3">
              <w:rPr>
                <w:rFonts w:cs="Arial"/>
                <w:b/>
                <w:sz w:val="24"/>
                <w:szCs w:val="24"/>
              </w:rPr>
              <w:t>:</w:t>
            </w:r>
            <w:r w:rsidRPr="008A563D">
              <w:rPr>
                <w:rFonts w:cs="Arial"/>
                <w:b/>
                <w:sz w:val="24"/>
                <w:szCs w:val="24"/>
              </w:rPr>
              <w:t xml:space="preserve"> </w:t>
            </w:r>
            <w:r w:rsidR="00B6674F" w:rsidRPr="00015310">
              <w:rPr>
                <w:rFonts w:cs="Arial"/>
                <w:sz w:val="24"/>
                <w:szCs w:val="24"/>
              </w:rPr>
              <w:t xml:space="preserve">No aplica </w:t>
            </w:r>
          </w:p>
          <w:p w14:paraId="13AB308D" w14:textId="77777777" w:rsidR="00974BC6" w:rsidRDefault="00974BC6" w:rsidP="009C2732"/>
        </w:tc>
      </w:tr>
      <w:tr w:rsidR="00A56AE8" w14:paraId="02DC4B90" w14:textId="77777777" w:rsidTr="00692C91">
        <w:trPr>
          <w:trHeight w:val="432"/>
        </w:trPr>
        <w:tc>
          <w:tcPr>
            <w:tcW w:w="8977" w:type="dxa"/>
          </w:tcPr>
          <w:p w14:paraId="227159CB" w14:textId="77777777" w:rsidR="00D41EE3" w:rsidRPr="00015310" w:rsidRDefault="00DC41F0" w:rsidP="009C2732">
            <w:pPr>
              <w:rPr>
                <w:rFonts w:cs="Arial"/>
                <w:sz w:val="24"/>
                <w:szCs w:val="24"/>
              </w:rPr>
            </w:pPr>
            <w:r>
              <w:rPr>
                <w:rFonts w:cs="Arial"/>
                <w:b/>
                <w:sz w:val="24"/>
                <w:szCs w:val="24"/>
              </w:rPr>
              <w:t xml:space="preserve">DISPONIBILIDAD PRESUPUESTAL. </w:t>
            </w:r>
            <w:r w:rsidR="00B6674F" w:rsidRPr="00015310">
              <w:rPr>
                <w:rFonts w:cs="Arial"/>
                <w:sz w:val="24"/>
                <w:szCs w:val="24"/>
              </w:rPr>
              <w:t xml:space="preserve">No aplica </w:t>
            </w:r>
          </w:p>
          <w:p w14:paraId="718E8048" w14:textId="77777777" w:rsidR="00D41EE3" w:rsidRDefault="00D41EE3" w:rsidP="009C2732"/>
        </w:tc>
      </w:tr>
      <w:tr w:rsidR="00A56AE8" w14:paraId="3B721389" w14:textId="77777777" w:rsidTr="009C2732">
        <w:trPr>
          <w:trHeight w:val="806"/>
        </w:trPr>
        <w:tc>
          <w:tcPr>
            <w:tcW w:w="8977" w:type="dxa"/>
          </w:tcPr>
          <w:p w14:paraId="584B7B19" w14:textId="498CB301" w:rsidR="00A56AE8" w:rsidRDefault="00AA6BD0" w:rsidP="009C2732">
            <w:pPr>
              <w:rPr>
                <w:rFonts w:cs="Arial"/>
                <w:sz w:val="24"/>
                <w:szCs w:val="24"/>
              </w:rPr>
            </w:pPr>
            <w:r w:rsidRPr="008A563D">
              <w:rPr>
                <w:rFonts w:cs="Arial"/>
                <w:b/>
                <w:sz w:val="24"/>
                <w:szCs w:val="24"/>
              </w:rPr>
              <w:t>IMPACTO MEDIOAMBIENTAL O SOBRE EL PATRIMONIO CULTURAL DE LA NACIÓN</w:t>
            </w:r>
            <w:r w:rsidR="0021642F">
              <w:rPr>
                <w:rFonts w:cs="Arial"/>
                <w:b/>
                <w:sz w:val="24"/>
                <w:szCs w:val="24"/>
              </w:rPr>
              <w:t xml:space="preserve">. </w:t>
            </w:r>
            <w:r w:rsidR="0021642F" w:rsidRPr="0021642F">
              <w:rPr>
                <w:rFonts w:cs="Arial"/>
                <w:sz w:val="24"/>
                <w:szCs w:val="24"/>
              </w:rPr>
              <w:t>No aplica</w:t>
            </w:r>
          </w:p>
          <w:p w14:paraId="62BE593B" w14:textId="77777777" w:rsidR="00D41EE3" w:rsidRDefault="00D41EE3" w:rsidP="009C2732"/>
        </w:tc>
      </w:tr>
      <w:tr w:rsidR="00A56AE8" w14:paraId="4FC37EDB" w14:textId="77777777" w:rsidTr="009C2732">
        <w:trPr>
          <w:trHeight w:val="1085"/>
        </w:trPr>
        <w:tc>
          <w:tcPr>
            <w:tcW w:w="8977" w:type="dxa"/>
          </w:tcPr>
          <w:p w14:paraId="22644637" w14:textId="77777777" w:rsidR="00D41EE3" w:rsidRDefault="00D41EE3" w:rsidP="009C2732">
            <w:pPr>
              <w:rPr>
                <w:rFonts w:cs="Arial"/>
                <w:b/>
                <w:sz w:val="24"/>
                <w:szCs w:val="24"/>
              </w:rPr>
            </w:pPr>
          </w:p>
          <w:p w14:paraId="7BE65E7B" w14:textId="0B970EFC" w:rsidR="00C65C5D" w:rsidRDefault="00AA6BD0" w:rsidP="00041520">
            <w:pPr>
              <w:jc w:val="both"/>
            </w:pPr>
            <w:r w:rsidRPr="008A563D">
              <w:rPr>
                <w:rFonts w:cs="Arial"/>
                <w:b/>
                <w:sz w:val="24"/>
                <w:szCs w:val="24"/>
              </w:rPr>
              <w:t>CUMPLIMIENTO DE LOS REQUISITOS DE CONSULTA Y PUBLICIDAD</w:t>
            </w:r>
            <w:r w:rsidRPr="004F7BFB">
              <w:rPr>
                <w:rFonts w:cs="Arial"/>
                <w:sz w:val="24"/>
                <w:szCs w:val="24"/>
              </w:rPr>
              <w:t xml:space="preserve">: </w:t>
            </w:r>
            <w:r w:rsidR="003D0D7A">
              <w:rPr>
                <w:rFonts w:cs="Arial"/>
                <w:sz w:val="24"/>
                <w:szCs w:val="24"/>
              </w:rPr>
              <w:t xml:space="preserve">Se publica para comentarios del público del </w:t>
            </w:r>
            <w:proofErr w:type="spellStart"/>
            <w:r w:rsidR="00711B7D">
              <w:rPr>
                <w:rFonts w:cs="Arial"/>
                <w:sz w:val="24"/>
                <w:szCs w:val="24"/>
              </w:rPr>
              <w:t>xx</w:t>
            </w:r>
            <w:proofErr w:type="spellEnd"/>
            <w:r w:rsidR="00711B7D">
              <w:rPr>
                <w:rFonts w:cs="Arial"/>
                <w:sz w:val="24"/>
                <w:szCs w:val="24"/>
              </w:rPr>
              <w:t xml:space="preserve"> </w:t>
            </w:r>
            <w:r w:rsidR="000C0477">
              <w:rPr>
                <w:rFonts w:cs="Arial"/>
                <w:sz w:val="24"/>
                <w:szCs w:val="24"/>
              </w:rPr>
              <w:t xml:space="preserve">al </w:t>
            </w:r>
            <w:proofErr w:type="spellStart"/>
            <w:r w:rsidR="00711B7D">
              <w:rPr>
                <w:rFonts w:cs="Arial"/>
                <w:sz w:val="24"/>
                <w:szCs w:val="24"/>
              </w:rPr>
              <w:t>xx</w:t>
            </w:r>
            <w:proofErr w:type="spellEnd"/>
            <w:r w:rsidR="00436ACD">
              <w:rPr>
                <w:rFonts w:cs="Arial"/>
                <w:sz w:val="24"/>
                <w:szCs w:val="24"/>
              </w:rPr>
              <w:t xml:space="preserve"> </w:t>
            </w:r>
            <w:r w:rsidR="00210CDD">
              <w:rPr>
                <w:rFonts w:cs="Arial"/>
                <w:sz w:val="24"/>
                <w:szCs w:val="24"/>
              </w:rPr>
              <w:t xml:space="preserve">de </w:t>
            </w:r>
            <w:r w:rsidR="00711B7D">
              <w:rPr>
                <w:rFonts w:cs="Arial"/>
                <w:sz w:val="24"/>
                <w:szCs w:val="24"/>
              </w:rPr>
              <w:t>agosto</w:t>
            </w:r>
            <w:r w:rsidR="00E02E43">
              <w:rPr>
                <w:rFonts w:cs="Arial"/>
                <w:sz w:val="24"/>
                <w:szCs w:val="24"/>
              </w:rPr>
              <w:t xml:space="preserve"> de 202</w:t>
            </w:r>
            <w:r w:rsidR="00436ACD">
              <w:rPr>
                <w:rFonts w:cs="Arial"/>
                <w:sz w:val="24"/>
                <w:szCs w:val="24"/>
              </w:rPr>
              <w:t>1</w:t>
            </w:r>
            <w:r w:rsidR="00E02E43">
              <w:rPr>
                <w:rFonts w:cs="Arial"/>
                <w:sz w:val="24"/>
                <w:szCs w:val="24"/>
              </w:rPr>
              <w:t>.</w:t>
            </w:r>
          </w:p>
        </w:tc>
      </w:tr>
      <w:tr w:rsidR="00A971D7" w14:paraId="310BCA50" w14:textId="77777777" w:rsidTr="009C2732">
        <w:trPr>
          <w:trHeight w:val="701"/>
        </w:trPr>
        <w:tc>
          <w:tcPr>
            <w:tcW w:w="8977" w:type="dxa"/>
          </w:tcPr>
          <w:p w14:paraId="19E6803C" w14:textId="77777777" w:rsidR="00207284" w:rsidRDefault="00207284" w:rsidP="009C2732">
            <w:pPr>
              <w:rPr>
                <w:rFonts w:cs="Arial"/>
                <w:b/>
                <w:sz w:val="24"/>
                <w:szCs w:val="24"/>
              </w:rPr>
            </w:pPr>
          </w:p>
          <w:p w14:paraId="1F5C29D6" w14:textId="580C6989" w:rsidR="003A533A" w:rsidRDefault="00D460FA" w:rsidP="00E02E43">
            <w:pPr>
              <w:rPr>
                <w:rFonts w:cs="Arial"/>
                <w:sz w:val="24"/>
                <w:szCs w:val="24"/>
              </w:rPr>
            </w:pPr>
            <w:r>
              <w:rPr>
                <w:rFonts w:cs="Arial"/>
                <w:b/>
                <w:sz w:val="24"/>
                <w:szCs w:val="24"/>
              </w:rPr>
              <w:t>COMENTARIOS DE LOS CIUDADANOS</w:t>
            </w:r>
            <w:r w:rsidR="004F7BFB" w:rsidRPr="008E287B">
              <w:rPr>
                <w:rFonts w:cs="Arial"/>
                <w:sz w:val="24"/>
                <w:szCs w:val="24"/>
              </w:rPr>
              <w:t xml:space="preserve">. </w:t>
            </w:r>
            <w:r w:rsidR="00711B7D">
              <w:rPr>
                <w:rFonts w:cs="Arial"/>
                <w:sz w:val="24"/>
                <w:szCs w:val="24"/>
              </w:rPr>
              <w:t>PENDIENTE</w:t>
            </w:r>
          </w:p>
          <w:p w14:paraId="3AD24E1F" w14:textId="5ED7FEF0" w:rsidR="009F5EF8" w:rsidRDefault="00041520" w:rsidP="00E02E43">
            <w:pPr>
              <w:rPr>
                <w:rFonts w:cs="Arial"/>
                <w:b/>
                <w:sz w:val="24"/>
                <w:szCs w:val="24"/>
              </w:rPr>
            </w:pPr>
            <w:r>
              <w:rPr>
                <w:rFonts w:cs="Arial"/>
                <w:sz w:val="24"/>
                <w:szCs w:val="24"/>
              </w:rPr>
              <w:t xml:space="preserve"> </w:t>
            </w:r>
          </w:p>
        </w:tc>
      </w:tr>
      <w:tr w:rsidR="00A56AE8" w14:paraId="0D3D8009" w14:textId="77777777" w:rsidTr="009C2732">
        <w:trPr>
          <w:trHeight w:val="279"/>
        </w:trPr>
        <w:tc>
          <w:tcPr>
            <w:tcW w:w="8977" w:type="dxa"/>
          </w:tcPr>
          <w:p w14:paraId="2C5D2ABE" w14:textId="77777777" w:rsidR="00A56AE8" w:rsidRDefault="00AA6BD0" w:rsidP="009C2732">
            <w:pPr>
              <w:jc w:val="both"/>
            </w:pPr>
            <w:r w:rsidRPr="008A563D">
              <w:rPr>
                <w:rFonts w:cs="Arial"/>
                <w:b/>
                <w:sz w:val="24"/>
                <w:szCs w:val="24"/>
              </w:rPr>
              <w:t>ASPECTOS ADICIONALES IMPORTANTES</w:t>
            </w:r>
            <w:r>
              <w:rPr>
                <w:rFonts w:cs="Arial"/>
                <w:b/>
                <w:sz w:val="24"/>
                <w:szCs w:val="24"/>
              </w:rPr>
              <w:t>:</w:t>
            </w:r>
            <w:r w:rsidR="00207284">
              <w:rPr>
                <w:rFonts w:cs="Arial"/>
                <w:b/>
                <w:sz w:val="24"/>
                <w:szCs w:val="24"/>
              </w:rPr>
              <w:t xml:space="preserve"> </w:t>
            </w:r>
            <w:r w:rsidR="00207284" w:rsidRPr="00207284">
              <w:rPr>
                <w:rFonts w:cs="Arial"/>
                <w:sz w:val="24"/>
                <w:szCs w:val="24"/>
              </w:rPr>
              <w:t>No aplica</w:t>
            </w:r>
          </w:p>
        </w:tc>
      </w:tr>
      <w:tr w:rsidR="00163713" w14:paraId="4A1276E3" w14:textId="77777777" w:rsidTr="009C2732">
        <w:trPr>
          <w:trHeight w:val="2000"/>
        </w:trPr>
        <w:tc>
          <w:tcPr>
            <w:tcW w:w="8977" w:type="dxa"/>
          </w:tcPr>
          <w:p w14:paraId="0B6597EA" w14:textId="77777777" w:rsidR="00163713" w:rsidRDefault="00163713" w:rsidP="009C2732">
            <w:pPr>
              <w:jc w:val="both"/>
              <w:rPr>
                <w:rFonts w:cs="Arial"/>
                <w:b/>
                <w:sz w:val="24"/>
                <w:szCs w:val="24"/>
              </w:rPr>
            </w:pPr>
          </w:p>
          <w:p w14:paraId="538199CA" w14:textId="77777777" w:rsidR="00163713" w:rsidRDefault="00163713" w:rsidP="009C2732">
            <w:pPr>
              <w:jc w:val="both"/>
              <w:rPr>
                <w:rFonts w:cs="Arial"/>
                <w:sz w:val="24"/>
                <w:szCs w:val="24"/>
              </w:rPr>
            </w:pPr>
            <w:r w:rsidRPr="008A563D">
              <w:rPr>
                <w:rFonts w:cs="Arial"/>
                <w:b/>
                <w:sz w:val="24"/>
                <w:szCs w:val="24"/>
              </w:rPr>
              <w:t>IMPACTO QUE TENDRÁ EN LA SEGURIDAD JURÍDICA</w:t>
            </w:r>
            <w:r w:rsidR="00FA5FBB">
              <w:rPr>
                <w:rFonts w:cs="Arial"/>
                <w:b/>
                <w:sz w:val="24"/>
                <w:szCs w:val="24"/>
              </w:rPr>
              <w:t xml:space="preserve">: </w:t>
            </w:r>
            <w:r w:rsidR="00FA5FBB" w:rsidRPr="008A563D">
              <w:rPr>
                <w:rFonts w:cs="Arial"/>
                <w:sz w:val="24"/>
                <w:szCs w:val="24"/>
              </w:rPr>
              <w:t>En caso de que dentro del año inmediatamente anterior ya se hubiere reglamentado la misma materia</w:t>
            </w:r>
            <w:r w:rsidR="00FA5FBB">
              <w:rPr>
                <w:rFonts w:cs="Arial"/>
                <w:sz w:val="24"/>
                <w:szCs w:val="24"/>
              </w:rPr>
              <w:t>.</w:t>
            </w:r>
          </w:p>
          <w:p w14:paraId="2DF5B38D" w14:textId="77777777" w:rsidR="00FA5FBB" w:rsidRDefault="00FA5FBB" w:rsidP="009C2732">
            <w:pPr>
              <w:jc w:val="both"/>
              <w:rPr>
                <w:rFonts w:cs="Arial"/>
                <w:sz w:val="24"/>
                <w:szCs w:val="24"/>
              </w:rPr>
            </w:pPr>
          </w:p>
          <w:p w14:paraId="45F5E18B" w14:textId="77777777" w:rsidR="003D7DC6" w:rsidRDefault="00202777" w:rsidP="00202777">
            <w:pPr>
              <w:jc w:val="both"/>
              <w:rPr>
                <w:rFonts w:cs="Arial"/>
                <w:sz w:val="24"/>
                <w:szCs w:val="24"/>
              </w:rPr>
            </w:pPr>
            <w:r w:rsidRPr="00202777">
              <w:rPr>
                <w:rFonts w:cs="Arial"/>
                <w:sz w:val="24"/>
                <w:szCs w:val="24"/>
              </w:rPr>
              <w:t>Por tratarse de un reglamento de producto</w:t>
            </w:r>
            <w:r w:rsidR="009C2C35">
              <w:rPr>
                <w:rFonts w:cs="Arial"/>
                <w:sz w:val="24"/>
                <w:szCs w:val="24"/>
              </w:rPr>
              <w:t xml:space="preserve"> – CRÉDITO Y LEASING HABITACI</w:t>
            </w:r>
            <w:r w:rsidR="009453CC">
              <w:rPr>
                <w:rFonts w:cs="Arial"/>
                <w:sz w:val="24"/>
                <w:szCs w:val="24"/>
              </w:rPr>
              <w:t>O</w:t>
            </w:r>
            <w:r w:rsidR="009C2C35">
              <w:rPr>
                <w:rFonts w:cs="Arial"/>
                <w:sz w:val="24"/>
                <w:szCs w:val="24"/>
              </w:rPr>
              <w:t>NAL-</w:t>
            </w:r>
            <w:r w:rsidR="00E2140E">
              <w:rPr>
                <w:rFonts w:cs="Arial"/>
                <w:sz w:val="24"/>
                <w:szCs w:val="24"/>
              </w:rPr>
              <w:t xml:space="preserve"> es usual realizar </w:t>
            </w:r>
            <w:r w:rsidRPr="00202777">
              <w:rPr>
                <w:rFonts w:cs="Arial"/>
                <w:sz w:val="24"/>
                <w:szCs w:val="24"/>
              </w:rPr>
              <w:t xml:space="preserve">las modificaciones al mismo por cuanto es </w:t>
            </w:r>
            <w:r w:rsidR="002F162D">
              <w:rPr>
                <w:rFonts w:cs="Arial"/>
                <w:sz w:val="24"/>
                <w:szCs w:val="24"/>
              </w:rPr>
              <w:t xml:space="preserve">un producto </w:t>
            </w:r>
            <w:r w:rsidRPr="00202777">
              <w:rPr>
                <w:rFonts w:cs="Arial"/>
                <w:sz w:val="24"/>
                <w:szCs w:val="24"/>
              </w:rPr>
              <w:t>din</w:t>
            </w:r>
            <w:r w:rsidR="002F162D">
              <w:rPr>
                <w:rFonts w:cs="Arial"/>
                <w:sz w:val="24"/>
                <w:szCs w:val="24"/>
              </w:rPr>
              <w:t>ámico y debe estar en constantes ajustes de acuerdo</w:t>
            </w:r>
            <w:r>
              <w:rPr>
                <w:rFonts w:cs="Arial"/>
                <w:sz w:val="24"/>
                <w:szCs w:val="24"/>
              </w:rPr>
              <w:t xml:space="preserve"> a las </w:t>
            </w:r>
            <w:r w:rsidR="009C2C35">
              <w:rPr>
                <w:rFonts w:cs="Arial"/>
                <w:sz w:val="24"/>
                <w:szCs w:val="24"/>
              </w:rPr>
              <w:t>necesidades del mercado.</w:t>
            </w:r>
          </w:p>
          <w:p w14:paraId="04DA699E" w14:textId="77777777" w:rsidR="003D7DC6" w:rsidRPr="00202777" w:rsidRDefault="003D7DC6" w:rsidP="00202777">
            <w:pPr>
              <w:jc w:val="both"/>
              <w:rPr>
                <w:rFonts w:cs="Arial"/>
                <w:sz w:val="24"/>
                <w:szCs w:val="24"/>
              </w:rPr>
            </w:pPr>
          </w:p>
        </w:tc>
      </w:tr>
    </w:tbl>
    <w:p w14:paraId="4167CDEA" w14:textId="77777777" w:rsidR="008516AF" w:rsidRPr="008516AF" w:rsidRDefault="008516AF" w:rsidP="00692C91">
      <w:pPr>
        <w:rPr>
          <w:sz w:val="24"/>
          <w:szCs w:val="24"/>
        </w:rPr>
      </w:pPr>
    </w:p>
    <w:sectPr w:rsidR="008516AF" w:rsidRPr="008516AF" w:rsidSect="00615C52">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9F6BA" w14:textId="77777777" w:rsidR="00E319E4" w:rsidRDefault="00E319E4" w:rsidP="00143CFA">
      <w:r>
        <w:separator/>
      </w:r>
    </w:p>
  </w:endnote>
  <w:endnote w:type="continuationSeparator" w:id="0">
    <w:p w14:paraId="72853465" w14:textId="77777777" w:rsidR="00E319E4" w:rsidRDefault="00E319E4" w:rsidP="00143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69E90" w14:textId="77777777" w:rsidR="00E319E4" w:rsidRDefault="00E319E4" w:rsidP="00143CFA">
      <w:r>
        <w:separator/>
      </w:r>
    </w:p>
  </w:footnote>
  <w:footnote w:type="continuationSeparator" w:id="0">
    <w:p w14:paraId="7A877D0B" w14:textId="77777777" w:rsidR="00E319E4" w:rsidRDefault="00E319E4" w:rsidP="00143C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24A7C" w14:textId="77777777" w:rsidR="009C2732" w:rsidRDefault="009C2732">
    <w:pPr>
      <w:pStyle w:val="Encabezado"/>
    </w:pPr>
    <w:r>
      <w:rPr>
        <w:noProof/>
        <w:lang w:val="es-CO" w:eastAsia="es-CO"/>
      </w:rPr>
      <w:drawing>
        <wp:anchor distT="0" distB="0" distL="114300" distR="114300" simplePos="0" relativeHeight="251658240" behindDoc="1" locked="0" layoutInCell="1" allowOverlap="1" wp14:anchorId="39D9DC97" wp14:editId="75F066B1">
          <wp:simplePos x="0" y="0"/>
          <wp:positionH relativeFrom="margin">
            <wp:posOffset>3806190</wp:posOffset>
          </wp:positionH>
          <wp:positionV relativeFrom="paragraph">
            <wp:posOffset>-287655</wp:posOffset>
          </wp:positionV>
          <wp:extent cx="2493010" cy="790575"/>
          <wp:effectExtent l="0" t="0" r="0" b="9525"/>
          <wp:wrapNone/>
          <wp:docPr id="1" name="Imagen 1" descr="../EXPORTE/OT%23%201006%20Inventario%20de%20Certificados%20-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XPORTE/OT%23%201006%20Inventario%20de%20Certificados%20-07.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493010"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604546" w14:textId="77777777" w:rsidR="009C2732" w:rsidRDefault="009C2732">
    <w:pPr>
      <w:pStyle w:val="Encabezado"/>
    </w:pPr>
  </w:p>
  <w:p w14:paraId="6C4E5A2E" w14:textId="77777777" w:rsidR="009C2732" w:rsidRDefault="009C2732">
    <w:pPr>
      <w:pStyle w:val="Encabezado"/>
    </w:pPr>
  </w:p>
  <w:p w14:paraId="14E6890E" w14:textId="77777777" w:rsidR="009C2732" w:rsidRDefault="009C273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869B5"/>
    <w:multiLevelType w:val="hybridMultilevel"/>
    <w:tmpl w:val="18F853E0"/>
    <w:lvl w:ilvl="0" w:tplc="41C6DDD4">
      <w:start w:val="1"/>
      <w:numFmt w:val="lowerLetter"/>
      <w:lvlText w:val="%1)"/>
      <w:lvlJc w:val="left"/>
      <w:pPr>
        <w:tabs>
          <w:tab w:val="num" w:pos="720"/>
        </w:tabs>
        <w:ind w:left="720" w:hanging="360"/>
      </w:pPr>
    </w:lvl>
    <w:lvl w:ilvl="1" w:tplc="B0EA88AC" w:tentative="1">
      <w:start w:val="1"/>
      <w:numFmt w:val="lowerLetter"/>
      <w:lvlText w:val="%2)"/>
      <w:lvlJc w:val="left"/>
      <w:pPr>
        <w:tabs>
          <w:tab w:val="num" w:pos="1440"/>
        </w:tabs>
        <w:ind w:left="1440" w:hanging="360"/>
      </w:pPr>
    </w:lvl>
    <w:lvl w:ilvl="2" w:tplc="A34C4876" w:tentative="1">
      <w:start w:val="1"/>
      <w:numFmt w:val="lowerLetter"/>
      <w:lvlText w:val="%3)"/>
      <w:lvlJc w:val="left"/>
      <w:pPr>
        <w:tabs>
          <w:tab w:val="num" w:pos="2160"/>
        </w:tabs>
        <w:ind w:left="2160" w:hanging="360"/>
      </w:pPr>
    </w:lvl>
    <w:lvl w:ilvl="3" w:tplc="44F01E7A" w:tentative="1">
      <w:start w:val="1"/>
      <w:numFmt w:val="lowerLetter"/>
      <w:lvlText w:val="%4)"/>
      <w:lvlJc w:val="left"/>
      <w:pPr>
        <w:tabs>
          <w:tab w:val="num" w:pos="2880"/>
        </w:tabs>
        <w:ind w:left="2880" w:hanging="360"/>
      </w:pPr>
    </w:lvl>
    <w:lvl w:ilvl="4" w:tplc="7DCEE164" w:tentative="1">
      <w:start w:val="1"/>
      <w:numFmt w:val="lowerLetter"/>
      <w:lvlText w:val="%5)"/>
      <w:lvlJc w:val="left"/>
      <w:pPr>
        <w:tabs>
          <w:tab w:val="num" w:pos="3600"/>
        </w:tabs>
        <w:ind w:left="3600" w:hanging="360"/>
      </w:pPr>
    </w:lvl>
    <w:lvl w:ilvl="5" w:tplc="61DE0D86" w:tentative="1">
      <w:start w:val="1"/>
      <w:numFmt w:val="lowerLetter"/>
      <w:lvlText w:val="%6)"/>
      <w:lvlJc w:val="left"/>
      <w:pPr>
        <w:tabs>
          <w:tab w:val="num" w:pos="4320"/>
        </w:tabs>
        <w:ind w:left="4320" w:hanging="360"/>
      </w:pPr>
    </w:lvl>
    <w:lvl w:ilvl="6" w:tplc="4B16FEF0" w:tentative="1">
      <w:start w:val="1"/>
      <w:numFmt w:val="lowerLetter"/>
      <w:lvlText w:val="%7)"/>
      <w:lvlJc w:val="left"/>
      <w:pPr>
        <w:tabs>
          <w:tab w:val="num" w:pos="5040"/>
        </w:tabs>
        <w:ind w:left="5040" w:hanging="360"/>
      </w:pPr>
    </w:lvl>
    <w:lvl w:ilvl="7" w:tplc="CE60AF04" w:tentative="1">
      <w:start w:val="1"/>
      <w:numFmt w:val="lowerLetter"/>
      <w:lvlText w:val="%8)"/>
      <w:lvlJc w:val="left"/>
      <w:pPr>
        <w:tabs>
          <w:tab w:val="num" w:pos="5760"/>
        </w:tabs>
        <w:ind w:left="5760" w:hanging="360"/>
      </w:pPr>
    </w:lvl>
    <w:lvl w:ilvl="8" w:tplc="E27EB836" w:tentative="1">
      <w:start w:val="1"/>
      <w:numFmt w:val="lowerLetter"/>
      <w:lvlText w:val="%9)"/>
      <w:lvlJc w:val="left"/>
      <w:pPr>
        <w:tabs>
          <w:tab w:val="num" w:pos="6480"/>
        </w:tabs>
        <w:ind w:left="6480" w:hanging="360"/>
      </w:pPr>
    </w:lvl>
  </w:abstractNum>
  <w:abstractNum w:abstractNumId="1" w15:restartNumberingAfterBreak="0">
    <w:nsid w:val="1F3E428A"/>
    <w:multiLevelType w:val="multilevel"/>
    <w:tmpl w:val="BF387B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854575C"/>
    <w:multiLevelType w:val="hybridMultilevel"/>
    <w:tmpl w:val="70F28A72"/>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3" w15:restartNumberingAfterBreak="0">
    <w:nsid w:val="319D1E13"/>
    <w:multiLevelType w:val="hybridMultilevel"/>
    <w:tmpl w:val="CFDA8552"/>
    <w:lvl w:ilvl="0" w:tplc="1220A32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5DFD0BAF"/>
    <w:multiLevelType w:val="hybridMultilevel"/>
    <w:tmpl w:val="4B2E83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E8D"/>
    <w:rsid w:val="00015310"/>
    <w:rsid w:val="00021DC4"/>
    <w:rsid w:val="00041520"/>
    <w:rsid w:val="00043A65"/>
    <w:rsid w:val="00055916"/>
    <w:rsid w:val="00071DE6"/>
    <w:rsid w:val="000815AB"/>
    <w:rsid w:val="0008483B"/>
    <w:rsid w:val="00086658"/>
    <w:rsid w:val="00086DEF"/>
    <w:rsid w:val="00087E44"/>
    <w:rsid w:val="0009232C"/>
    <w:rsid w:val="000B6E31"/>
    <w:rsid w:val="000C0477"/>
    <w:rsid w:val="000D6A3A"/>
    <w:rsid w:val="000E4666"/>
    <w:rsid w:val="000F4094"/>
    <w:rsid w:val="00123739"/>
    <w:rsid w:val="00126DC0"/>
    <w:rsid w:val="00132104"/>
    <w:rsid w:val="00143CFA"/>
    <w:rsid w:val="00163713"/>
    <w:rsid w:val="00170BC2"/>
    <w:rsid w:val="001745EE"/>
    <w:rsid w:val="00192589"/>
    <w:rsid w:val="001E2596"/>
    <w:rsid w:val="001E49AF"/>
    <w:rsid w:val="001F3B13"/>
    <w:rsid w:val="001F7234"/>
    <w:rsid w:val="00202777"/>
    <w:rsid w:val="0020482A"/>
    <w:rsid w:val="00205F69"/>
    <w:rsid w:val="00207284"/>
    <w:rsid w:val="00210CDD"/>
    <w:rsid w:val="00211908"/>
    <w:rsid w:val="0021642F"/>
    <w:rsid w:val="0023348A"/>
    <w:rsid w:val="00234935"/>
    <w:rsid w:val="002526AB"/>
    <w:rsid w:val="00255812"/>
    <w:rsid w:val="002734B4"/>
    <w:rsid w:val="00274B0C"/>
    <w:rsid w:val="00274CB3"/>
    <w:rsid w:val="00282A1A"/>
    <w:rsid w:val="00283BEE"/>
    <w:rsid w:val="0028793E"/>
    <w:rsid w:val="00292905"/>
    <w:rsid w:val="00296C8F"/>
    <w:rsid w:val="002A6F95"/>
    <w:rsid w:val="002B7543"/>
    <w:rsid w:val="002D201C"/>
    <w:rsid w:val="002D7A77"/>
    <w:rsid w:val="002E6D27"/>
    <w:rsid w:val="002E7F19"/>
    <w:rsid w:val="002F162D"/>
    <w:rsid w:val="002F1B64"/>
    <w:rsid w:val="002F5EFD"/>
    <w:rsid w:val="00327E68"/>
    <w:rsid w:val="00333246"/>
    <w:rsid w:val="0033481C"/>
    <w:rsid w:val="00335DCF"/>
    <w:rsid w:val="003367CE"/>
    <w:rsid w:val="00336FB2"/>
    <w:rsid w:val="00337786"/>
    <w:rsid w:val="003415E1"/>
    <w:rsid w:val="00353B58"/>
    <w:rsid w:val="0036574C"/>
    <w:rsid w:val="00370FE9"/>
    <w:rsid w:val="003A07B5"/>
    <w:rsid w:val="003A533A"/>
    <w:rsid w:val="003A568B"/>
    <w:rsid w:val="003D0D7A"/>
    <w:rsid w:val="003D7DC6"/>
    <w:rsid w:val="003E5126"/>
    <w:rsid w:val="003E6E3D"/>
    <w:rsid w:val="003F422C"/>
    <w:rsid w:val="004024EB"/>
    <w:rsid w:val="00407042"/>
    <w:rsid w:val="00414CCC"/>
    <w:rsid w:val="00436ACD"/>
    <w:rsid w:val="0045130F"/>
    <w:rsid w:val="00472E44"/>
    <w:rsid w:val="00472F2F"/>
    <w:rsid w:val="00490E5A"/>
    <w:rsid w:val="004A33FE"/>
    <w:rsid w:val="004B06FD"/>
    <w:rsid w:val="004B5406"/>
    <w:rsid w:val="004B6FA9"/>
    <w:rsid w:val="004C3261"/>
    <w:rsid w:val="004D2607"/>
    <w:rsid w:val="004D31B3"/>
    <w:rsid w:val="004D37CF"/>
    <w:rsid w:val="004E675F"/>
    <w:rsid w:val="004E6DAB"/>
    <w:rsid w:val="004F79F8"/>
    <w:rsid w:val="004F7BFB"/>
    <w:rsid w:val="00512DAC"/>
    <w:rsid w:val="0051785D"/>
    <w:rsid w:val="005203A3"/>
    <w:rsid w:val="00557544"/>
    <w:rsid w:val="00560FDF"/>
    <w:rsid w:val="00572C47"/>
    <w:rsid w:val="0057658E"/>
    <w:rsid w:val="005848E1"/>
    <w:rsid w:val="005873DD"/>
    <w:rsid w:val="005902B8"/>
    <w:rsid w:val="005A72C2"/>
    <w:rsid w:val="005B341E"/>
    <w:rsid w:val="00615C52"/>
    <w:rsid w:val="0063062B"/>
    <w:rsid w:val="00665481"/>
    <w:rsid w:val="00691602"/>
    <w:rsid w:val="00692C91"/>
    <w:rsid w:val="006B3A17"/>
    <w:rsid w:val="006B590A"/>
    <w:rsid w:val="006F26C0"/>
    <w:rsid w:val="007048A7"/>
    <w:rsid w:val="00706040"/>
    <w:rsid w:val="00711B7D"/>
    <w:rsid w:val="00721051"/>
    <w:rsid w:val="00725341"/>
    <w:rsid w:val="00730061"/>
    <w:rsid w:val="00773CCB"/>
    <w:rsid w:val="0077692F"/>
    <w:rsid w:val="00783B7F"/>
    <w:rsid w:val="007913FA"/>
    <w:rsid w:val="00797504"/>
    <w:rsid w:val="00797689"/>
    <w:rsid w:val="007977EC"/>
    <w:rsid w:val="007A35B2"/>
    <w:rsid w:val="007A52EF"/>
    <w:rsid w:val="007B2AEC"/>
    <w:rsid w:val="007C15D1"/>
    <w:rsid w:val="007D2AFD"/>
    <w:rsid w:val="00812BF0"/>
    <w:rsid w:val="00820668"/>
    <w:rsid w:val="008278FE"/>
    <w:rsid w:val="008318FA"/>
    <w:rsid w:val="00836BC0"/>
    <w:rsid w:val="008470B4"/>
    <w:rsid w:val="00847DB3"/>
    <w:rsid w:val="00850C37"/>
    <w:rsid w:val="008516AF"/>
    <w:rsid w:val="00864115"/>
    <w:rsid w:val="0086453F"/>
    <w:rsid w:val="00890AFC"/>
    <w:rsid w:val="00893213"/>
    <w:rsid w:val="008B3C6C"/>
    <w:rsid w:val="008B4687"/>
    <w:rsid w:val="008B4EE1"/>
    <w:rsid w:val="008C3042"/>
    <w:rsid w:val="008D600D"/>
    <w:rsid w:val="008E1BA1"/>
    <w:rsid w:val="008E287B"/>
    <w:rsid w:val="008F0293"/>
    <w:rsid w:val="008F28CD"/>
    <w:rsid w:val="00926A11"/>
    <w:rsid w:val="009453CC"/>
    <w:rsid w:val="009529CF"/>
    <w:rsid w:val="009717A2"/>
    <w:rsid w:val="00974BC6"/>
    <w:rsid w:val="009918A3"/>
    <w:rsid w:val="009925B3"/>
    <w:rsid w:val="009943CE"/>
    <w:rsid w:val="00996537"/>
    <w:rsid w:val="009A0DA1"/>
    <w:rsid w:val="009A4994"/>
    <w:rsid w:val="009A6494"/>
    <w:rsid w:val="009B2FA3"/>
    <w:rsid w:val="009C0D86"/>
    <w:rsid w:val="009C2732"/>
    <w:rsid w:val="009C2C35"/>
    <w:rsid w:val="009E301F"/>
    <w:rsid w:val="009F5EF8"/>
    <w:rsid w:val="00A13EA8"/>
    <w:rsid w:val="00A31A6D"/>
    <w:rsid w:val="00A40889"/>
    <w:rsid w:val="00A5441B"/>
    <w:rsid w:val="00A56AE8"/>
    <w:rsid w:val="00A57554"/>
    <w:rsid w:val="00A57862"/>
    <w:rsid w:val="00A606B7"/>
    <w:rsid w:val="00A66EFE"/>
    <w:rsid w:val="00A67106"/>
    <w:rsid w:val="00A675A8"/>
    <w:rsid w:val="00A747EB"/>
    <w:rsid w:val="00A823A2"/>
    <w:rsid w:val="00A82D85"/>
    <w:rsid w:val="00A91563"/>
    <w:rsid w:val="00A931B5"/>
    <w:rsid w:val="00A965D8"/>
    <w:rsid w:val="00A971D7"/>
    <w:rsid w:val="00A97DF9"/>
    <w:rsid w:val="00AA6BD0"/>
    <w:rsid w:val="00AB0A1D"/>
    <w:rsid w:val="00AB6C82"/>
    <w:rsid w:val="00AD039D"/>
    <w:rsid w:val="00AD4E6C"/>
    <w:rsid w:val="00AE359D"/>
    <w:rsid w:val="00B2436C"/>
    <w:rsid w:val="00B31CD9"/>
    <w:rsid w:val="00B32843"/>
    <w:rsid w:val="00B44160"/>
    <w:rsid w:val="00B50175"/>
    <w:rsid w:val="00B6674F"/>
    <w:rsid w:val="00B67328"/>
    <w:rsid w:val="00B678A8"/>
    <w:rsid w:val="00B85059"/>
    <w:rsid w:val="00B9196D"/>
    <w:rsid w:val="00B924F7"/>
    <w:rsid w:val="00BA532C"/>
    <w:rsid w:val="00BE1876"/>
    <w:rsid w:val="00BE1DF6"/>
    <w:rsid w:val="00BE2D29"/>
    <w:rsid w:val="00C052A9"/>
    <w:rsid w:val="00C0580C"/>
    <w:rsid w:val="00C05F29"/>
    <w:rsid w:val="00C06393"/>
    <w:rsid w:val="00C0667D"/>
    <w:rsid w:val="00C13B6B"/>
    <w:rsid w:val="00C157D5"/>
    <w:rsid w:val="00C168A3"/>
    <w:rsid w:val="00C3175A"/>
    <w:rsid w:val="00C3361D"/>
    <w:rsid w:val="00C33D66"/>
    <w:rsid w:val="00C47619"/>
    <w:rsid w:val="00C54E6A"/>
    <w:rsid w:val="00C5602B"/>
    <w:rsid w:val="00C56CF4"/>
    <w:rsid w:val="00C65C5D"/>
    <w:rsid w:val="00C6608E"/>
    <w:rsid w:val="00C71F81"/>
    <w:rsid w:val="00C86116"/>
    <w:rsid w:val="00C94E4C"/>
    <w:rsid w:val="00CA57DD"/>
    <w:rsid w:val="00CC30A9"/>
    <w:rsid w:val="00CD06A4"/>
    <w:rsid w:val="00CE0DFD"/>
    <w:rsid w:val="00CF3529"/>
    <w:rsid w:val="00CF462B"/>
    <w:rsid w:val="00D155AF"/>
    <w:rsid w:val="00D41EE3"/>
    <w:rsid w:val="00D460FA"/>
    <w:rsid w:val="00D56182"/>
    <w:rsid w:val="00D7033A"/>
    <w:rsid w:val="00D7791B"/>
    <w:rsid w:val="00D802CC"/>
    <w:rsid w:val="00D8316D"/>
    <w:rsid w:val="00DA5DC6"/>
    <w:rsid w:val="00DB3E1E"/>
    <w:rsid w:val="00DC41F0"/>
    <w:rsid w:val="00DD2066"/>
    <w:rsid w:val="00DD3C0C"/>
    <w:rsid w:val="00DE3922"/>
    <w:rsid w:val="00E02E43"/>
    <w:rsid w:val="00E2140E"/>
    <w:rsid w:val="00E319E4"/>
    <w:rsid w:val="00E32C35"/>
    <w:rsid w:val="00E5024A"/>
    <w:rsid w:val="00E54F6B"/>
    <w:rsid w:val="00E564EE"/>
    <w:rsid w:val="00E573DA"/>
    <w:rsid w:val="00E65736"/>
    <w:rsid w:val="00E873EB"/>
    <w:rsid w:val="00E92FC8"/>
    <w:rsid w:val="00E952F1"/>
    <w:rsid w:val="00EC5DBC"/>
    <w:rsid w:val="00EC72CE"/>
    <w:rsid w:val="00ED704A"/>
    <w:rsid w:val="00ED71E6"/>
    <w:rsid w:val="00EE16A7"/>
    <w:rsid w:val="00EE3EC4"/>
    <w:rsid w:val="00F002F4"/>
    <w:rsid w:val="00F634EB"/>
    <w:rsid w:val="00F6792B"/>
    <w:rsid w:val="00F80ADC"/>
    <w:rsid w:val="00F87046"/>
    <w:rsid w:val="00FA5FBB"/>
    <w:rsid w:val="00FD3B2A"/>
    <w:rsid w:val="00FF066D"/>
    <w:rsid w:val="00FF1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3498C9"/>
  <w15:docId w15:val="{1FE6196D-9A48-4775-BFF6-1779099B4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E8D"/>
    <w:pPr>
      <w:spacing w:after="0" w:line="240" w:lineRule="auto"/>
    </w:pPr>
    <w:rPr>
      <w:rFonts w:ascii="Arial" w:eastAsia="Times New Roman" w:hAnsi="Arial" w:cs="Times New Roman"/>
      <w:sz w:val="20"/>
      <w:szCs w:val="20"/>
      <w:lang w:val="es-ES" w:eastAsia="es-ES"/>
    </w:rPr>
  </w:style>
  <w:style w:type="paragraph" w:styleId="Ttulo2">
    <w:name w:val="heading 2"/>
    <w:basedOn w:val="Normal"/>
    <w:next w:val="Normal"/>
    <w:link w:val="Ttulo2Car"/>
    <w:qFormat/>
    <w:rsid w:val="00FF1E8D"/>
    <w:pPr>
      <w:keepNext/>
      <w:jc w:val="center"/>
      <w:outlineLvl w:val="1"/>
    </w:pPr>
    <w:rPr>
      <w:b/>
    </w:rPr>
  </w:style>
  <w:style w:type="paragraph" w:styleId="Ttulo3">
    <w:name w:val="heading 3"/>
    <w:basedOn w:val="Normal"/>
    <w:next w:val="Normal"/>
    <w:link w:val="Ttulo3Car"/>
    <w:uiPriority w:val="9"/>
    <w:semiHidden/>
    <w:unhideWhenUsed/>
    <w:qFormat/>
    <w:rsid w:val="00BE1DF6"/>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F1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rsid w:val="00FF1E8D"/>
    <w:rPr>
      <w:rFonts w:ascii="Arial" w:eastAsia="Times New Roman" w:hAnsi="Arial" w:cs="Times New Roman"/>
      <w:b/>
      <w:sz w:val="20"/>
      <w:szCs w:val="20"/>
      <w:lang w:val="es-ES" w:eastAsia="es-ES"/>
    </w:rPr>
  </w:style>
  <w:style w:type="paragraph" w:styleId="Prrafodelista">
    <w:name w:val="List Paragraph"/>
    <w:basedOn w:val="Normal"/>
    <w:link w:val="PrrafodelistaCar"/>
    <w:uiPriority w:val="34"/>
    <w:qFormat/>
    <w:rsid w:val="00557544"/>
    <w:pPr>
      <w:spacing w:after="200" w:line="276" w:lineRule="auto"/>
      <w:ind w:left="720"/>
      <w:contextualSpacing/>
    </w:pPr>
    <w:rPr>
      <w:rFonts w:ascii="Calibri" w:eastAsia="Calibri" w:hAnsi="Calibri"/>
      <w:sz w:val="22"/>
      <w:szCs w:val="22"/>
      <w:lang w:val="es-CO" w:eastAsia="en-US"/>
    </w:rPr>
  </w:style>
  <w:style w:type="character" w:customStyle="1" w:styleId="PrrafodelistaCar">
    <w:name w:val="Párrafo de lista Car"/>
    <w:basedOn w:val="Fuentedeprrafopredeter"/>
    <w:link w:val="Prrafodelista"/>
    <w:uiPriority w:val="34"/>
    <w:locked/>
    <w:rsid w:val="00557544"/>
    <w:rPr>
      <w:rFonts w:ascii="Calibri" w:eastAsia="Calibri" w:hAnsi="Calibri" w:cs="Times New Roman"/>
      <w:lang w:val="es-CO"/>
    </w:rPr>
  </w:style>
  <w:style w:type="paragraph" w:styleId="NormalWeb">
    <w:name w:val="Normal (Web)"/>
    <w:basedOn w:val="Normal"/>
    <w:uiPriority w:val="99"/>
    <w:rsid w:val="00557544"/>
    <w:pPr>
      <w:spacing w:before="100" w:beforeAutospacing="1" w:after="100" w:afterAutospacing="1"/>
    </w:pPr>
    <w:rPr>
      <w:rFonts w:ascii="Arial Unicode MS" w:eastAsia="Arial Unicode MS" w:hAnsi="Arial Unicode MS" w:cs="Arial Unicode MS"/>
      <w:sz w:val="24"/>
      <w:szCs w:val="24"/>
    </w:rPr>
  </w:style>
  <w:style w:type="character" w:customStyle="1" w:styleId="TextonotapieCar">
    <w:name w:val="Texto nota pie Car"/>
    <w:aliases w:val="Footnote Text Char Char Char Char Char Car,Footnote Text Char Char Char Char Car,Footnote reference Car,FA Fu Car,texto de nota al pie Car,Footnote Text Char Car Car,Texto nota pie Car Car Car,texto de nota al pie Car Car Car,Car Car"/>
    <w:basedOn w:val="Fuentedeprrafopredeter"/>
    <w:link w:val="Textonotapie"/>
    <w:uiPriority w:val="99"/>
    <w:semiHidden/>
    <w:locked/>
    <w:rsid w:val="00143CFA"/>
    <w:rPr>
      <w:rFonts w:ascii="Arial" w:hAnsi="Arial" w:cs="Arial"/>
      <w:color w:val="000000"/>
      <w:lang w:eastAsia="es-MX"/>
    </w:rPr>
  </w:style>
  <w:style w:type="paragraph" w:styleId="Textonotapie">
    <w:name w:val="footnote text"/>
    <w:aliases w:val="Footnote Text Char Char Char Char Char,Footnote Text Char Char Char Char,Footnote reference,FA Fu,texto de nota al pie,Footnote Text Char Car,Texto nota pie Car Car,texto de nota al pie Car Car,ft Car Car Car,Car,ft"/>
    <w:basedOn w:val="Normal"/>
    <w:link w:val="TextonotapieCar"/>
    <w:uiPriority w:val="99"/>
    <w:semiHidden/>
    <w:unhideWhenUsed/>
    <w:rsid w:val="00143CFA"/>
    <w:rPr>
      <w:rFonts w:eastAsiaTheme="minorHAnsi" w:cs="Arial"/>
      <w:color w:val="000000"/>
      <w:sz w:val="22"/>
      <w:szCs w:val="22"/>
      <w:lang w:val="en-US" w:eastAsia="es-MX"/>
    </w:rPr>
  </w:style>
  <w:style w:type="character" w:customStyle="1" w:styleId="TextonotapieCar1">
    <w:name w:val="Texto nota pie Car1"/>
    <w:basedOn w:val="Fuentedeprrafopredeter"/>
    <w:uiPriority w:val="99"/>
    <w:semiHidden/>
    <w:rsid w:val="00143CFA"/>
    <w:rPr>
      <w:rFonts w:ascii="Arial" w:eastAsia="Times New Roman" w:hAnsi="Arial" w:cs="Times New Roman"/>
      <w:sz w:val="20"/>
      <w:szCs w:val="20"/>
      <w:lang w:val="es-ES" w:eastAsia="es-ES"/>
    </w:rPr>
  </w:style>
  <w:style w:type="character" w:styleId="Refdenotaalpie">
    <w:name w:val="footnote reference"/>
    <w:aliases w:val="referencia nota al pie,Texto de nota al pie,Nota de pie,Texto nota al pie,Appel note de bas de page"/>
    <w:basedOn w:val="Fuentedeprrafopredeter"/>
    <w:uiPriority w:val="99"/>
    <w:semiHidden/>
    <w:unhideWhenUsed/>
    <w:rsid w:val="00143CFA"/>
    <w:rPr>
      <w:vertAlign w:val="superscript"/>
    </w:rPr>
  </w:style>
  <w:style w:type="paragraph" w:styleId="Encabezado">
    <w:name w:val="header"/>
    <w:basedOn w:val="Normal"/>
    <w:link w:val="EncabezadoCar"/>
    <w:uiPriority w:val="99"/>
    <w:unhideWhenUsed/>
    <w:rsid w:val="009C2732"/>
    <w:pPr>
      <w:tabs>
        <w:tab w:val="center" w:pos="4419"/>
        <w:tab w:val="right" w:pos="8838"/>
      </w:tabs>
    </w:pPr>
  </w:style>
  <w:style w:type="character" w:customStyle="1" w:styleId="EncabezadoCar">
    <w:name w:val="Encabezado Car"/>
    <w:basedOn w:val="Fuentedeprrafopredeter"/>
    <w:link w:val="Encabezado"/>
    <w:uiPriority w:val="99"/>
    <w:rsid w:val="009C2732"/>
    <w:rPr>
      <w:rFonts w:ascii="Arial" w:eastAsia="Times New Roman" w:hAnsi="Arial" w:cs="Times New Roman"/>
      <w:sz w:val="20"/>
      <w:szCs w:val="20"/>
      <w:lang w:val="es-ES" w:eastAsia="es-ES"/>
    </w:rPr>
  </w:style>
  <w:style w:type="paragraph" w:styleId="Piedepgina">
    <w:name w:val="footer"/>
    <w:basedOn w:val="Normal"/>
    <w:link w:val="PiedepginaCar"/>
    <w:uiPriority w:val="99"/>
    <w:unhideWhenUsed/>
    <w:rsid w:val="009C2732"/>
    <w:pPr>
      <w:tabs>
        <w:tab w:val="center" w:pos="4419"/>
        <w:tab w:val="right" w:pos="8838"/>
      </w:tabs>
    </w:pPr>
  </w:style>
  <w:style w:type="character" w:customStyle="1" w:styleId="PiedepginaCar">
    <w:name w:val="Pie de página Car"/>
    <w:basedOn w:val="Fuentedeprrafopredeter"/>
    <w:link w:val="Piedepgina"/>
    <w:uiPriority w:val="99"/>
    <w:rsid w:val="009C2732"/>
    <w:rPr>
      <w:rFonts w:ascii="Arial" w:eastAsia="Times New Roman" w:hAnsi="Arial" w:cs="Times New Roman"/>
      <w:sz w:val="20"/>
      <w:szCs w:val="20"/>
      <w:lang w:val="es-ES" w:eastAsia="es-ES"/>
    </w:rPr>
  </w:style>
  <w:style w:type="paragraph" w:styleId="Textodeglobo">
    <w:name w:val="Balloon Text"/>
    <w:basedOn w:val="Normal"/>
    <w:link w:val="TextodegloboCar"/>
    <w:uiPriority w:val="99"/>
    <w:semiHidden/>
    <w:unhideWhenUsed/>
    <w:rsid w:val="009453C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453CC"/>
    <w:rPr>
      <w:rFonts w:ascii="Segoe UI" w:eastAsia="Times New Roman" w:hAnsi="Segoe UI" w:cs="Segoe UI"/>
      <w:sz w:val="18"/>
      <w:szCs w:val="18"/>
      <w:lang w:val="es-ES" w:eastAsia="es-ES"/>
    </w:rPr>
  </w:style>
  <w:style w:type="character" w:customStyle="1" w:styleId="Ttulo3Car">
    <w:name w:val="Título 3 Car"/>
    <w:basedOn w:val="Fuentedeprrafopredeter"/>
    <w:link w:val="Ttulo3"/>
    <w:uiPriority w:val="9"/>
    <w:semiHidden/>
    <w:rsid w:val="00BE1DF6"/>
    <w:rPr>
      <w:rFonts w:asciiTheme="majorHAnsi" w:eastAsiaTheme="majorEastAsia" w:hAnsiTheme="majorHAnsi" w:cstheme="majorBidi"/>
      <w:color w:val="243F60" w:themeColor="accent1" w:themeShade="7F"/>
      <w:sz w:val="24"/>
      <w:szCs w:val="24"/>
      <w:lang w:val="es-ES" w:eastAsia="es-ES"/>
    </w:rPr>
  </w:style>
  <w:style w:type="character" w:customStyle="1" w:styleId="markpqyfxj5ow">
    <w:name w:val="markpqyfxj5ow"/>
    <w:basedOn w:val="Fuentedeprrafopredeter"/>
    <w:rsid w:val="0028793E"/>
  </w:style>
  <w:style w:type="character" w:styleId="Hipervnculo">
    <w:name w:val="Hyperlink"/>
    <w:basedOn w:val="Fuentedeprrafopredeter"/>
    <w:uiPriority w:val="99"/>
    <w:semiHidden/>
    <w:unhideWhenUsed/>
    <w:rsid w:val="002879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34832">
      <w:bodyDiv w:val="1"/>
      <w:marLeft w:val="0"/>
      <w:marRight w:val="0"/>
      <w:marTop w:val="0"/>
      <w:marBottom w:val="0"/>
      <w:divBdr>
        <w:top w:val="none" w:sz="0" w:space="0" w:color="auto"/>
        <w:left w:val="none" w:sz="0" w:space="0" w:color="auto"/>
        <w:bottom w:val="none" w:sz="0" w:space="0" w:color="auto"/>
        <w:right w:val="none" w:sz="0" w:space="0" w:color="auto"/>
      </w:divBdr>
    </w:div>
    <w:div w:id="441845976">
      <w:bodyDiv w:val="1"/>
      <w:marLeft w:val="0"/>
      <w:marRight w:val="0"/>
      <w:marTop w:val="0"/>
      <w:marBottom w:val="0"/>
      <w:divBdr>
        <w:top w:val="none" w:sz="0" w:space="0" w:color="auto"/>
        <w:left w:val="none" w:sz="0" w:space="0" w:color="auto"/>
        <w:bottom w:val="none" w:sz="0" w:space="0" w:color="auto"/>
        <w:right w:val="none" w:sz="0" w:space="0" w:color="auto"/>
      </w:divBdr>
    </w:div>
    <w:div w:id="489098666">
      <w:bodyDiv w:val="1"/>
      <w:marLeft w:val="0"/>
      <w:marRight w:val="0"/>
      <w:marTop w:val="0"/>
      <w:marBottom w:val="0"/>
      <w:divBdr>
        <w:top w:val="none" w:sz="0" w:space="0" w:color="auto"/>
        <w:left w:val="none" w:sz="0" w:space="0" w:color="auto"/>
        <w:bottom w:val="none" w:sz="0" w:space="0" w:color="auto"/>
        <w:right w:val="none" w:sz="0" w:space="0" w:color="auto"/>
      </w:divBdr>
    </w:div>
    <w:div w:id="586381500">
      <w:bodyDiv w:val="1"/>
      <w:marLeft w:val="0"/>
      <w:marRight w:val="0"/>
      <w:marTop w:val="0"/>
      <w:marBottom w:val="0"/>
      <w:divBdr>
        <w:top w:val="none" w:sz="0" w:space="0" w:color="auto"/>
        <w:left w:val="none" w:sz="0" w:space="0" w:color="auto"/>
        <w:bottom w:val="none" w:sz="0" w:space="0" w:color="auto"/>
        <w:right w:val="none" w:sz="0" w:space="0" w:color="auto"/>
      </w:divBdr>
    </w:div>
    <w:div w:id="644045975">
      <w:bodyDiv w:val="1"/>
      <w:marLeft w:val="0"/>
      <w:marRight w:val="0"/>
      <w:marTop w:val="0"/>
      <w:marBottom w:val="0"/>
      <w:divBdr>
        <w:top w:val="none" w:sz="0" w:space="0" w:color="auto"/>
        <w:left w:val="none" w:sz="0" w:space="0" w:color="auto"/>
        <w:bottom w:val="none" w:sz="0" w:space="0" w:color="auto"/>
        <w:right w:val="none" w:sz="0" w:space="0" w:color="auto"/>
      </w:divBdr>
    </w:div>
    <w:div w:id="1042484179">
      <w:bodyDiv w:val="1"/>
      <w:marLeft w:val="0"/>
      <w:marRight w:val="0"/>
      <w:marTop w:val="0"/>
      <w:marBottom w:val="0"/>
      <w:divBdr>
        <w:top w:val="none" w:sz="0" w:space="0" w:color="auto"/>
        <w:left w:val="none" w:sz="0" w:space="0" w:color="auto"/>
        <w:bottom w:val="none" w:sz="0" w:space="0" w:color="auto"/>
        <w:right w:val="none" w:sz="0" w:space="0" w:color="auto"/>
      </w:divBdr>
    </w:div>
    <w:div w:id="1048380789">
      <w:bodyDiv w:val="1"/>
      <w:marLeft w:val="0"/>
      <w:marRight w:val="0"/>
      <w:marTop w:val="0"/>
      <w:marBottom w:val="0"/>
      <w:divBdr>
        <w:top w:val="none" w:sz="0" w:space="0" w:color="auto"/>
        <w:left w:val="none" w:sz="0" w:space="0" w:color="auto"/>
        <w:bottom w:val="none" w:sz="0" w:space="0" w:color="auto"/>
        <w:right w:val="none" w:sz="0" w:space="0" w:color="auto"/>
      </w:divBdr>
    </w:div>
    <w:div w:id="1076628996">
      <w:bodyDiv w:val="1"/>
      <w:marLeft w:val="0"/>
      <w:marRight w:val="0"/>
      <w:marTop w:val="0"/>
      <w:marBottom w:val="0"/>
      <w:divBdr>
        <w:top w:val="none" w:sz="0" w:space="0" w:color="auto"/>
        <w:left w:val="none" w:sz="0" w:space="0" w:color="auto"/>
        <w:bottom w:val="none" w:sz="0" w:space="0" w:color="auto"/>
        <w:right w:val="none" w:sz="0" w:space="0" w:color="auto"/>
      </w:divBdr>
    </w:div>
    <w:div w:id="1423255572">
      <w:bodyDiv w:val="1"/>
      <w:marLeft w:val="0"/>
      <w:marRight w:val="0"/>
      <w:marTop w:val="0"/>
      <w:marBottom w:val="0"/>
      <w:divBdr>
        <w:top w:val="none" w:sz="0" w:space="0" w:color="auto"/>
        <w:left w:val="none" w:sz="0" w:space="0" w:color="auto"/>
        <w:bottom w:val="none" w:sz="0" w:space="0" w:color="auto"/>
        <w:right w:val="none" w:sz="0" w:space="0" w:color="auto"/>
      </w:divBdr>
      <w:divsChild>
        <w:div w:id="208342257">
          <w:marLeft w:val="547"/>
          <w:marRight w:val="0"/>
          <w:marTop w:val="0"/>
          <w:marBottom w:val="0"/>
          <w:divBdr>
            <w:top w:val="none" w:sz="0" w:space="0" w:color="auto"/>
            <w:left w:val="none" w:sz="0" w:space="0" w:color="auto"/>
            <w:bottom w:val="none" w:sz="0" w:space="0" w:color="auto"/>
            <w:right w:val="none" w:sz="0" w:space="0" w:color="auto"/>
          </w:divBdr>
        </w:div>
        <w:div w:id="895704810">
          <w:marLeft w:val="547"/>
          <w:marRight w:val="0"/>
          <w:marTop w:val="0"/>
          <w:marBottom w:val="0"/>
          <w:divBdr>
            <w:top w:val="none" w:sz="0" w:space="0" w:color="auto"/>
            <w:left w:val="none" w:sz="0" w:space="0" w:color="auto"/>
            <w:bottom w:val="none" w:sz="0" w:space="0" w:color="auto"/>
            <w:right w:val="none" w:sz="0" w:space="0" w:color="auto"/>
          </w:divBdr>
        </w:div>
      </w:divsChild>
    </w:div>
    <w:div w:id="1752238255">
      <w:bodyDiv w:val="1"/>
      <w:marLeft w:val="0"/>
      <w:marRight w:val="0"/>
      <w:marTop w:val="0"/>
      <w:marBottom w:val="0"/>
      <w:divBdr>
        <w:top w:val="none" w:sz="0" w:space="0" w:color="auto"/>
        <w:left w:val="none" w:sz="0" w:space="0" w:color="auto"/>
        <w:bottom w:val="none" w:sz="0" w:space="0" w:color="auto"/>
        <w:right w:val="none" w:sz="0" w:space="0" w:color="auto"/>
      </w:divBdr>
    </w:div>
    <w:div w:id="2049211102">
      <w:bodyDiv w:val="1"/>
      <w:marLeft w:val="0"/>
      <w:marRight w:val="0"/>
      <w:marTop w:val="0"/>
      <w:marBottom w:val="0"/>
      <w:divBdr>
        <w:top w:val="none" w:sz="0" w:space="0" w:color="auto"/>
        <w:left w:val="none" w:sz="0" w:space="0" w:color="auto"/>
        <w:bottom w:val="none" w:sz="0" w:space="0" w:color="auto"/>
        <w:right w:val="none" w:sz="0" w:space="0" w:color="auto"/>
      </w:divBdr>
    </w:div>
    <w:div w:id="211786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9.png@01D4C93C.373B4940"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o" ma:contentTypeID="0x010100217F41592CF23F44BA192D40B3C01440" ma:contentTypeVersion="0" ma:contentTypeDescription="Crear nuevo documento." ma:contentTypeScope="" ma:versionID="8a674393fb0d92f2301060e219d4cf09">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AECAC5-8EF2-4CA1-A8E6-DC37307723C3}">
  <ds:schemaRefs>
    <ds:schemaRef ds:uri="http://schemas.openxmlformats.org/officeDocument/2006/bibliography"/>
  </ds:schemaRefs>
</ds:datastoreItem>
</file>

<file path=customXml/itemProps2.xml><?xml version="1.0" encoding="utf-8"?>
<ds:datastoreItem xmlns:ds="http://schemas.openxmlformats.org/officeDocument/2006/customXml" ds:itemID="{6E64511B-CD94-44F0-AAB1-3E3172D1309C}"/>
</file>

<file path=customXml/itemProps3.xml><?xml version="1.0" encoding="utf-8"?>
<ds:datastoreItem xmlns:ds="http://schemas.openxmlformats.org/officeDocument/2006/customXml" ds:itemID="{90FCE93B-FB6E-494A-97F9-272460C7A21B}"/>
</file>

<file path=customXml/itemProps4.xml><?xml version="1.0" encoding="utf-8"?>
<ds:datastoreItem xmlns:ds="http://schemas.openxmlformats.org/officeDocument/2006/customXml" ds:itemID="{07AD4224-F7EF-4D81-8EEF-0A32786C6E54}"/>
</file>

<file path=docProps/app.xml><?xml version="1.0" encoding="utf-8"?>
<Properties xmlns="http://schemas.openxmlformats.org/officeDocument/2006/extended-properties" xmlns:vt="http://schemas.openxmlformats.org/officeDocument/2006/docPropsVTypes">
  <Template>Normal</Template>
  <TotalTime>1</TotalTime>
  <Pages>3</Pages>
  <Words>983</Words>
  <Characters>5411</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Fondo Nacional de Ahorro</Company>
  <LinksUpToDate>false</LinksUpToDate>
  <CharactersWithSpaces>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Zgonzalez</dc:creator>
  <cp:lastModifiedBy>Zulma Patricia Gonzalez Muñoz</cp:lastModifiedBy>
  <cp:revision>2</cp:revision>
  <cp:lastPrinted>2019-12-03T19:43:00Z</cp:lastPrinted>
  <dcterms:created xsi:type="dcterms:W3CDTF">2021-08-23T15:10:00Z</dcterms:created>
  <dcterms:modified xsi:type="dcterms:W3CDTF">2021-08-23T15:10:00Z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0x010100217F41592CF23F44BA192D40B3C01440</vt:lpwstr>
  </property>
</Properties>
</file>