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C29EB20" w14:textId="77777777" w:rsidTr="009C2732">
        <w:trPr>
          <w:trHeight w:val="992"/>
        </w:trPr>
        <w:tc>
          <w:tcPr>
            <w:tcW w:w="8977" w:type="dxa"/>
          </w:tcPr>
          <w:p w14:paraId="5FEE99FC" w14:textId="77777777" w:rsidR="00FF1E8D" w:rsidRDefault="00FF1E8D" w:rsidP="009C2732"/>
          <w:p w14:paraId="5F96427E" w14:textId="77777777" w:rsidR="00FF1E8D" w:rsidRDefault="00FF1E8D" w:rsidP="009C2732"/>
          <w:p w14:paraId="2281D5D5"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9F52218" w14:textId="77777777" w:rsidR="00FF1E8D" w:rsidRDefault="00FF1E8D" w:rsidP="009C2732"/>
        </w:tc>
      </w:tr>
      <w:tr w:rsidR="00FF1E8D" w14:paraId="58957FB1" w14:textId="77777777" w:rsidTr="009C2732">
        <w:trPr>
          <w:trHeight w:val="573"/>
        </w:trPr>
        <w:tc>
          <w:tcPr>
            <w:tcW w:w="8977" w:type="dxa"/>
          </w:tcPr>
          <w:p w14:paraId="6F2E26DB" w14:textId="77777777" w:rsidR="00FF1E8D" w:rsidRPr="00FF1E8D" w:rsidRDefault="00FF1E8D" w:rsidP="009C2732">
            <w:pPr>
              <w:rPr>
                <w:b/>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tc>
      </w:tr>
      <w:tr w:rsidR="00FF1E8D" w14:paraId="325305AB" w14:textId="77777777" w:rsidTr="009C2732">
        <w:trPr>
          <w:trHeight w:val="511"/>
        </w:trPr>
        <w:tc>
          <w:tcPr>
            <w:tcW w:w="8977" w:type="dxa"/>
          </w:tcPr>
          <w:p w14:paraId="7A5084EF" w14:textId="77777777" w:rsidR="00FF1E8D" w:rsidRDefault="00FF1E8D" w:rsidP="009C2732"/>
          <w:p w14:paraId="7E08CAA5" w14:textId="7C9CFEFB" w:rsidR="00FF1E8D" w:rsidRPr="00A56AE8" w:rsidRDefault="00A56AE8" w:rsidP="00F6792B">
            <w:pPr>
              <w:rPr>
                <w:b/>
                <w:sz w:val="24"/>
                <w:szCs w:val="24"/>
              </w:rPr>
            </w:pPr>
            <w:r w:rsidRPr="00A56AE8">
              <w:rPr>
                <w:b/>
                <w:sz w:val="24"/>
                <w:szCs w:val="24"/>
              </w:rPr>
              <w:t>Fecha</w:t>
            </w:r>
            <w:r w:rsidRPr="008B3C6C">
              <w:rPr>
                <w:sz w:val="24"/>
                <w:szCs w:val="24"/>
              </w:rPr>
              <w:t xml:space="preserve">: </w:t>
            </w:r>
            <w:r w:rsidR="009918A3">
              <w:rPr>
                <w:sz w:val="24"/>
                <w:szCs w:val="24"/>
              </w:rPr>
              <w:t xml:space="preserve"> </w:t>
            </w:r>
            <w:r w:rsidR="006C0ED1">
              <w:rPr>
                <w:sz w:val="24"/>
                <w:szCs w:val="24"/>
              </w:rPr>
              <w:t>Mayo 17 de 2022</w:t>
            </w:r>
          </w:p>
        </w:tc>
      </w:tr>
      <w:tr w:rsidR="00FF1E8D" w14:paraId="74711968" w14:textId="77777777" w:rsidTr="009C2732">
        <w:trPr>
          <w:trHeight w:val="806"/>
        </w:trPr>
        <w:tc>
          <w:tcPr>
            <w:tcW w:w="8977" w:type="dxa"/>
          </w:tcPr>
          <w:p w14:paraId="360D2FFD" w14:textId="77777777" w:rsidR="00A56AE8" w:rsidRDefault="00A56AE8" w:rsidP="009C2732">
            <w:pPr>
              <w:ind w:right="72"/>
              <w:jc w:val="both"/>
              <w:rPr>
                <w:rFonts w:cs="Arial"/>
                <w:b/>
                <w:bCs/>
                <w:sz w:val="24"/>
                <w:szCs w:val="24"/>
              </w:rPr>
            </w:pPr>
          </w:p>
          <w:p w14:paraId="32F6BF99" w14:textId="15EB5146"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C168A3" w:rsidRPr="00C168A3">
              <w:rPr>
                <w:rFonts w:cs="Arial"/>
                <w:b/>
                <w:sz w:val="24"/>
                <w:szCs w:val="24"/>
                <w:lang w:val="es-ES_tradnl"/>
              </w:rPr>
              <w:t xml:space="preserve">Versión </w:t>
            </w:r>
            <w:r w:rsidR="006C0ED1">
              <w:rPr>
                <w:rFonts w:cs="Arial"/>
                <w:b/>
                <w:sz w:val="24"/>
                <w:szCs w:val="24"/>
                <w:lang w:val="es-ES_tradnl"/>
              </w:rPr>
              <w:t>27</w:t>
            </w:r>
            <w:r w:rsidR="00C168A3" w:rsidRPr="00C168A3">
              <w:rPr>
                <w:rFonts w:cs="Arial"/>
                <w:b/>
                <w:sz w:val="24"/>
                <w:szCs w:val="24"/>
                <w:lang w:val="es-ES_tradnl"/>
              </w:rPr>
              <w:t>.</w:t>
            </w:r>
          </w:p>
          <w:p w14:paraId="3F211D62" w14:textId="77777777" w:rsidR="009C2732" w:rsidRDefault="009C2732" w:rsidP="009C2732">
            <w:pPr>
              <w:ind w:right="-92"/>
              <w:jc w:val="both"/>
            </w:pPr>
          </w:p>
        </w:tc>
      </w:tr>
      <w:tr w:rsidR="00FF1E8D" w14:paraId="24A9E28A" w14:textId="77777777" w:rsidTr="009C2732">
        <w:trPr>
          <w:trHeight w:val="744"/>
        </w:trPr>
        <w:tc>
          <w:tcPr>
            <w:tcW w:w="8977" w:type="dxa"/>
          </w:tcPr>
          <w:p w14:paraId="31E89EB2" w14:textId="77777777" w:rsidR="00FF1E8D" w:rsidRPr="00EC5DBC" w:rsidRDefault="00A56AE8" w:rsidP="004F7BFB">
            <w:pPr>
              <w:jc w:val="both"/>
              <w:rPr>
                <w:rFonts w:cs="Arial"/>
                <w:bCs/>
                <w:sz w:val="24"/>
                <w:szCs w:val="24"/>
              </w:rPr>
            </w:pPr>
            <w:r w:rsidRPr="00A57862">
              <w:rPr>
                <w:rFonts w:cs="Arial"/>
                <w:bCs/>
                <w:sz w:val="24"/>
                <w:szCs w:val="24"/>
              </w:rPr>
              <w:t>Normas que otorgan competencia para la expedición del acto:</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14:paraId="441CEC81" w14:textId="77777777" w:rsidR="009C2732" w:rsidRPr="009C2732" w:rsidRDefault="009C2732" w:rsidP="009C2732"/>
        </w:tc>
      </w:tr>
      <w:tr w:rsidR="00FF1E8D" w14:paraId="47B94B04" w14:textId="77777777" w:rsidTr="009C2732">
        <w:trPr>
          <w:trHeight w:val="527"/>
        </w:trPr>
        <w:tc>
          <w:tcPr>
            <w:tcW w:w="8977" w:type="dxa"/>
          </w:tcPr>
          <w:p w14:paraId="24647B29" w14:textId="18BA19A6"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r w:rsidR="006C0ED1">
              <w:rPr>
                <w:rFonts w:cs="Arial"/>
                <w:bCs/>
                <w:sz w:val="24"/>
                <w:szCs w:val="24"/>
              </w:rPr>
              <w:t>.</w:t>
            </w:r>
          </w:p>
          <w:p w14:paraId="3DD5A21F" w14:textId="77777777" w:rsidR="004B06FD" w:rsidRPr="00A57862" w:rsidRDefault="004B06FD" w:rsidP="009C2732">
            <w:pPr>
              <w:jc w:val="both"/>
              <w:rPr>
                <w:b/>
              </w:rPr>
            </w:pPr>
          </w:p>
        </w:tc>
      </w:tr>
      <w:tr w:rsidR="00FF1E8D" w14:paraId="46CB62FD" w14:textId="77777777" w:rsidTr="009C2732">
        <w:trPr>
          <w:trHeight w:val="1085"/>
        </w:trPr>
        <w:tc>
          <w:tcPr>
            <w:tcW w:w="8977" w:type="dxa"/>
          </w:tcPr>
          <w:p w14:paraId="2A7FA46F" w14:textId="2B167CAF" w:rsidR="00BE2D29" w:rsidRPr="004F7BFB" w:rsidRDefault="0009232C" w:rsidP="009C2732">
            <w:pPr>
              <w:jc w:val="both"/>
              <w:rPr>
                <w:rFonts w:cs="Arial"/>
                <w:bCs/>
                <w:sz w:val="24"/>
                <w:szCs w:val="24"/>
              </w:rPr>
            </w:pPr>
            <w:r w:rsidRPr="0009232C">
              <w:rPr>
                <w:rFonts w:cs="Arial"/>
                <w:b/>
                <w:bCs/>
                <w:sz w:val="24"/>
                <w:szCs w:val="24"/>
              </w:rPr>
              <w:t>Disposiciones derogadas, subrogadas, modificadas, adicionadas o sustituidas</w:t>
            </w:r>
            <w:r w:rsidR="004F7BFB">
              <w:rPr>
                <w:rFonts w:cs="Arial"/>
                <w:b/>
                <w:bCs/>
                <w:sz w:val="24"/>
                <w:szCs w:val="24"/>
              </w:rPr>
              <w:t xml:space="preserve">. </w:t>
            </w:r>
            <w:r w:rsidR="004F7BFB" w:rsidRPr="004F7BFB">
              <w:rPr>
                <w:rFonts w:cs="Arial"/>
                <w:bCs/>
                <w:sz w:val="24"/>
                <w:szCs w:val="24"/>
              </w:rPr>
              <w:t xml:space="preserve">Deroga el Acuerdo </w:t>
            </w:r>
            <w:r w:rsidR="00CF462B">
              <w:rPr>
                <w:rFonts w:cs="Arial"/>
                <w:bCs/>
                <w:sz w:val="24"/>
                <w:szCs w:val="24"/>
              </w:rPr>
              <w:t>2</w:t>
            </w:r>
            <w:r w:rsidR="006C0ED1">
              <w:rPr>
                <w:rFonts w:cs="Arial"/>
                <w:bCs/>
                <w:sz w:val="24"/>
                <w:szCs w:val="24"/>
              </w:rPr>
              <w:t>458</w:t>
            </w:r>
            <w:r w:rsidR="00CF462B">
              <w:rPr>
                <w:rFonts w:cs="Arial"/>
                <w:bCs/>
                <w:sz w:val="24"/>
                <w:szCs w:val="24"/>
              </w:rPr>
              <w:t xml:space="preserve"> de 20</w:t>
            </w:r>
            <w:r w:rsidR="006C0ED1">
              <w:rPr>
                <w:rFonts w:cs="Arial"/>
                <w:bCs/>
                <w:sz w:val="24"/>
                <w:szCs w:val="24"/>
              </w:rPr>
              <w:t>22</w:t>
            </w:r>
            <w:r w:rsidR="00CF462B">
              <w:rPr>
                <w:rFonts w:cs="Arial"/>
                <w:bCs/>
                <w:sz w:val="24"/>
                <w:szCs w:val="24"/>
              </w:rPr>
              <w:t xml:space="preserve">  </w:t>
            </w:r>
            <w:r w:rsidR="004F7BFB" w:rsidRPr="004F7BFB">
              <w:rPr>
                <w:rFonts w:cs="Arial"/>
                <w:bCs/>
                <w:sz w:val="24"/>
                <w:szCs w:val="24"/>
              </w:rPr>
              <w:t xml:space="preserve"> por medio del cual se adopta la Versión </w:t>
            </w:r>
            <w:r w:rsidR="006C0ED1">
              <w:rPr>
                <w:rFonts w:cs="Arial"/>
                <w:bCs/>
                <w:sz w:val="24"/>
                <w:szCs w:val="24"/>
              </w:rPr>
              <w:t>26</w:t>
            </w:r>
            <w:r w:rsidR="004F7BFB" w:rsidRPr="004F7BFB">
              <w:rPr>
                <w:rFonts w:cs="Arial"/>
                <w:bCs/>
                <w:sz w:val="24"/>
                <w:szCs w:val="24"/>
              </w:rPr>
              <w:t xml:space="preserve"> </w:t>
            </w:r>
            <w:r w:rsidR="00202777" w:rsidRPr="004F7BFB">
              <w:rPr>
                <w:rFonts w:cs="Arial"/>
                <w:bCs/>
                <w:sz w:val="24"/>
                <w:szCs w:val="24"/>
              </w:rPr>
              <w:t xml:space="preserve">del </w:t>
            </w:r>
            <w:r w:rsidR="00202777" w:rsidRPr="00C168A3">
              <w:rPr>
                <w:rFonts w:cs="Arial"/>
                <w:iCs/>
                <w:sz w:val="24"/>
                <w:szCs w:val="24"/>
              </w:rPr>
              <w:t>Reglamento</w:t>
            </w:r>
            <w:r w:rsidR="00C168A3" w:rsidRPr="00C168A3">
              <w:rPr>
                <w:rFonts w:cs="Arial"/>
                <w:iCs/>
                <w:sz w:val="24"/>
                <w:szCs w:val="24"/>
              </w:rPr>
              <w:t xml:space="preserve"> de Crédito y Leasing Habitacional en el Fondo Nacional del Ahorro</w:t>
            </w:r>
            <w:r w:rsidR="00CF462B">
              <w:rPr>
                <w:rFonts w:cs="Arial"/>
                <w:iCs/>
                <w:sz w:val="24"/>
                <w:szCs w:val="24"/>
              </w:rPr>
              <w:t xml:space="preserve">, pero </w:t>
            </w:r>
            <w:r w:rsidR="003E5126">
              <w:rPr>
                <w:rFonts w:cs="Arial"/>
                <w:iCs/>
                <w:sz w:val="24"/>
                <w:szCs w:val="24"/>
              </w:rPr>
              <w:t>quedan</w:t>
            </w:r>
            <w:r w:rsidR="00CF462B">
              <w:rPr>
                <w:rFonts w:cs="Arial"/>
                <w:iCs/>
                <w:sz w:val="24"/>
                <w:szCs w:val="24"/>
              </w:rPr>
              <w:t xml:space="preserve"> vigentes algunas disposiciones que se requieren para la</w:t>
            </w:r>
            <w:r w:rsidR="003E5126">
              <w:rPr>
                <w:rFonts w:cs="Arial"/>
                <w:iCs/>
                <w:sz w:val="24"/>
                <w:szCs w:val="24"/>
              </w:rPr>
              <w:t xml:space="preserve"> administración de las operaciones que continúan hasta su cancelación</w:t>
            </w:r>
            <w:r w:rsidR="009918A3">
              <w:rPr>
                <w:rFonts w:cs="Arial"/>
                <w:iCs/>
                <w:sz w:val="24"/>
                <w:szCs w:val="24"/>
              </w:rPr>
              <w:t>,</w:t>
            </w:r>
            <w:r w:rsidR="009918A3">
              <w:rPr>
                <w:rFonts w:cs="Arial"/>
                <w:bCs/>
                <w:sz w:val="24"/>
                <w:szCs w:val="24"/>
              </w:rPr>
              <w:t xml:space="preserve"> esto último en cuanto a crédito constructor.</w:t>
            </w:r>
          </w:p>
          <w:p w14:paraId="7DD3F0D7" w14:textId="77777777" w:rsidR="00211908" w:rsidRPr="0009232C" w:rsidRDefault="00211908" w:rsidP="009C2732">
            <w:pPr>
              <w:jc w:val="both"/>
              <w:rPr>
                <w:b/>
              </w:rPr>
            </w:pPr>
          </w:p>
        </w:tc>
      </w:tr>
      <w:tr w:rsidR="00A56AE8" w14:paraId="6AF72758" w14:textId="77777777" w:rsidTr="009C2732">
        <w:trPr>
          <w:trHeight w:val="1271"/>
        </w:trPr>
        <w:tc>
          <w:tcPr>
            <w:tcW w:w="8977" w:type="dxa"/>
          </w:tcPr>
          <w:p w14:paraId="3B4BEF5E" w14:textId="77777777" w:rsidR="003B706C" w:rsidRDefault="00557544" w:rsidP="006C0ED1">
            <w:pPr>
              <w:jc w:val="both"/>
              <w:rPr>
                <w:rFonts w:cs="Arial"/>
                <w:b/>
                <w:sz w:val="24"/>
                <w:szCs w:val="24"/>
                <w:lang w:val="es-CO"/>
              </w:rPr>
            </w:pPr>
            <w:r w:rsidRPr="008A563D">
              <w:rPr>
                <w:rFonts w:cs="Arial"/>
                <w:b/>
                <w:sz w:val="24"/>
                <w:szCs w:val="24"/>
                <w:lang w:val="es-CO"/>
              </w:rPr>
              <w:t>A</w:t>
            </w:r>
            <w:r w:rsidR="00D41EE3">
              <w:rPr>
                <w:rFonts w:cs="Arial"/>
                <w:b/>
                <w:sz w:val="24"/>
                <w:szCs w:val="24"/>
                <w:lang w:val="es-CO"/>
              </w:rPr>
              <w:t>ntecedentes y razones de oportunidad y conveniencia que justifican la expedición del proyecto</w:t>
            </w:r>
            <w:r w:rsidR="00D41EE3" w:rsidRPr="00A72D26">
              <w:rPr>
                <w:rFonts w:cs="Arial"/>
                <w:b/>
                <w:sz w:val="24"/>
                <w:szCs w:val="24"/>
                <w:lang w:val="es-CO"/>
              </w:rPr>
              <w:t>.</w:t>
            </w:r>
            <w:r w:rsidR="00692C91" w:rsidRPr="00A72D26">
              <w:rPr>
                <w:rFonts w:cs="Arial"/>
                <w:b/>
                <w:sz w:val="24"/>
                <w:szCs w:val="24"/>
                <w:lang w:val="es-CO"/>
              </w:rPr>
              <w:t xml:space="preserve"> </w:t>
            </w:r>
          </w:p>
          <w:p w14:paraId="5F9057B9" w14:textId="77777777" w:rsidR="003B706C" w:rsidRDefault="003B706C" w:rsidP="006C0ED1">
            <w:pPr>
              <w:jc w:val="both"/>
              <w:rPr>
                <w:rFonts w:cs="Arial"/>
                <w:b/>
                <w:sz w:val="24"/>
                <w:szCs w:val="24"/>
                <w:lang w:val="es-CO"/>
              </w:rPr>
            </w:pPr>
          </w:p>
          <w:p w14:paraId="100E8C77" w14:textId="6F9C558F" w:rsidR="00905BA6" w:rsidRDefault="003B706C" w:rsidP="006C0ED1">
            <w:pPr>
              <w:jc w:val="both"/>
              <w:rPr>
                <w:rFonts w:cs="Arial"/>
                <w:color w:val="000000"/>
                <w:sz w:val="24"/>
                <w:szCs w:val="24"/>
              </w:rPr>
            </w:pPr>
            <w:r>
              <w:rPr>
                <w:rFonts w:cs="Arial"/>
                <w:color w:val="000000"/>
                <w:sz w:val="24"/>
                <w:szCs w:val="24"/>
              </w:rPr>
              <w:t>La modificación se realiza</w:t>
            </w:r>
            <w:r w:rsidR="006C0ED1" w:rsidRPr="00A72D26">
              <w:rPr>
                <w:rFonts w:cs="Arial"/>
                <w:color w:val="000000"/>
                <w:sz w:val="24"/>
                <w:szCs w:val="24"/>
              </w:rPr>
              <w:t xml:space="preserve"> con el fin de incluir como compradores e hipotecantes en las escrituras a las personas mayores de edad del grupo familiar beneficiarios del subsidio, sin que estos últimos sean sujetos de validación de ingresos para la aprobación del crédito</w:t>
            </w:r>
            <w:r w:rsidR="00DA1B43">
              <w:rPr>
                <w:rFonts w:cs="Arial"/>
                <w:color w:val="000000"/>
                <w:sz w:val="24"/>
                <w:szCs w:val="24"/>
              </w:rPr>
              <w:t>.</w:t>
            </w:r>
          </w:p>
          <w:p w14:paraId="48B05704" w14:textId="77777777" w:rsidR="00905BA6" w:rsidRDefault="00905BA6" w:rsidP="006C0ED1">
            <w:pPr>
              <w:jc w:val="both"/>
              <w:rPr>
                <w:rFonts w:cs="Arial"/>
                <w:color w:val="000000"/>
                <w:sz w:val="24"/>
                <w:szCs w:val="24"/>
              </w:rPr>
            </w:pPr>
          </w:p>
          <w:p w14:paraId="7151CCC5" w14:textId="5320E92D" w:rsidR="00905BA6" w:rsidRDefault="00905BA6" w:rsidP="006C0ED1">
            <w:pPr>
              <w:jc w:val="both"/>
              <w:rPr>
                <w:rFonts w:cs="Arial"/>
                <w:i/>
                <w:iCs/>
                <w:color w:val="000000"/>
                <w:sz w:val="24"/>
                <w:szCs w:val="24"/>
              </w:rPr>
            </w:pPr>
            <w:r>
              <w:rPr>
                <w:rFonts w:cs="Arial"/>
                <w:color w:val="000000"/>
                <w:sz w:val="24"/>
                <w:szCs w:val="24"/>
              </w:rPr>
              <w:t>Lo anterior de conformidad</w:t>
            </w:r>
            <w:r w:rsidR="006C0ED1" w:rsidRPr="00A72D26">
              <w:rPr>
                <w:rFonts w:cs="Arial"/>
                <w:color w:val="000000"/>
                <w:sz w:val="24"/>
                <w:szCs w:val="24"/>
              </w:rPr>
              <w:t xml:space="preserve"> a lo establecido en el </w:t>
            </w:r>
            <w:r w:rsidR="006C0ED1" w:rsidRPr="00A72D26">
              <w:rPr>
                <w:rFonts w:cs="Arial"/>
                <w:i/>
                <w:iCs/>
                <w:color w:val="000000"/>
                <w:sz w:val="24"/>
                <w:szCs w:val="24"/>
              </w:rPr>
              <w:t xml:space="preserve">PARÁGRAFO DEL ARTÍCULO 2.1.1.4.1.2.3. </w:t>
            </w:r>
            <w:r>
              <w:rPr>
                <w:rFonts w:cs="Arial"/>
                <w:color w:val="000000"/>
                <w:sz w:val="24"/>
                <w:szCs w:val="24"/>
              </w:rPr>
              <w:t>según el cual l</w:t>
            </w:r>
            <w:r w:rsidR="006C0ED1" w:rsidRPr="00A72D26">
              <w:rPr>
                <w:rFonts w:cs="Arial"/>
                <w:color w:val="000000"/>
                <w:sz w:val="24"/>
                <w:szCs w:val="24"/>
              </w:rPr>
              <w:t>os hogares serán aquellos conformados por “</w:t>
            </w:r>
            <w:r w:rsidR="006C0ED1" w:rsidRPr="00A72D26">
              <w:rPr>
                <w:rFonts w:cs="Arial"/>
                <w:i/>
                <w:iCs/>
                <w:color w:val="000000"/>
                <w:sz w:val="24"/>
                <w:szCs w:val="24"/>
              </w:rPr>
              <w:t xml:space="preserve">una o más personas que integren el mismo grupo familiar, incluidos los cónyuges y las uniones maritales de hecho, las parejas del mismo sexo y/o el grupo de personas unidas por vínculos de parentesco hasta el segundo grado de consanguinidad, primero de afinidad y único civil.” </w:t>
            </w:r>
          </w:p>
          <w:p w14:paraId="309E4CEC" w14:textId="77777777" w:rsidR="00DA1B43" w:rsidRDefault="00DA1B43" w:rsidP="006C0ED1">
            <w:pPr>
              <w:jc w:val="both"/>
              <w:rPr>
                <w:rFonts w:cs="Arial"/>
                <w:i/>
                <w:iCs/>
                <w:color w:val="000000"/>
                <w:sz w:val="24"/>
                <w:szCs w:val="24"/>
              </w:rPr>
            </w:pPr>
          </w:p>
          <w:p w14:paraId="5CBA1CFE" w14:textId="331591B5" w:rsidR="00CF462B" w:rsidRPr="00557544" w:rsidRDefault="0014739D" w:rsidP="008D3C07">
            <w:pPr>
              <w:jc w:val="both"/>
            </w:pPr>
            <w:r>
              <w:t>Con este ajuste se da cumplimiento a las disposiciones que regulan la propiedad de los inmuebles cuando media subsidio familiar de vivienda.</w:t>
            </w:r>
          </w:p>
        </w:tc>
      </w:tr>
      <w:tr w:rsidR="00A56AE8" w14:paraId="610E757F" w14:textId="77777777" w:rsidTr="00692C91">
        <w:trPr>
          <w:trHeight w:val="813"/>
        </w:trPr>
        <w:tc>
          <w:tcPr>
            <w:tcW w:w="8977" w:type="dxa"/>
          </w:tcPr>
          <w:p w14:paraId="26AD4A77" w14:textId="77777777" w:rsidR="005902B8" w:rsidRDefault="00557544" w:rsidP="00B44160">
            <w:pPr>
              <w:jc w:val="both"/>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202777">
              <w:rPr>
                <w:rFonts w:cs="Arial"/>
                <w:sz w:val="24"/>
                <w:szCs w:val="24"/>
              </w:rPr>
              <w:t>.</w:t>
            </w:r>
          </w:p>
        </w:tc>
      </w:tr>
      <w:tr w:rsidR="00A56AE8" w14:paraId="48EED656" w14:textId="77777777" w:rsidTr="00692C91">
        <w:trPr>
          <w:trHeight w:val="414"/>
        </w:trPr>
        <w:tc>
          <w:tcPr>
            <w:tcW w:w="8977" w:type="dxa"/>
          </w:tcPr>
          <w:p w14:paraId="02BE60CF"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5C94863E" w14:textId="77777777" w:rsidR="00211908" w:rsidRPr="00692C91" w:rsidRDefault="00211908" w:rsidP="009C2732">
            <w:pPr>
              <w:jc w:val="both"/>
              <w:rPr>
                <w:lang w:val="es-CO"/>
              </w:rPr>
            </w:pPr>
          </w:p>
        </w:tc>
      </w:tr>
      <w:tr w:rsidR="00A56AE8" w14:paraId="0314969A" w14:textId="77777777" w:rsidTr="009C2732">
        <w:trPr>
          <w:trHeight w:val="511"/>
        </w:trPr>
        <w:tc>
          <w:tcPr>
            <w:tcW w:w="8977" w:type="dxa"/>
          </w:tcPr>
          <w:p w14:paraId="0DA17B9C" w14:textId="77777777" w:rsidR="00AA6BD0" w:rsidRPr="008A563D" w:rsidRDefault="00AA6BD0" w:rsidP="009C2732">
            <w:pPr>
              <w:rPr>
                <w:rFonts w:cs="Arial"/>
                <w:b/>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DC41F0">
              <w:rPr>
                <w:rFonts w:cs="Arial"/>
                <w:b/>
                <w:sz w:val="24"/>
                <w:szCs w:val="24"/>
              </w:rPr>
              <w:t xml:space="preserve">No aplica </w:t>
            </w:r>
          </w:p>
          <w:p w14:paraId="070FC566" w14:textId="77777777" w:rsidR="00974BC6" w:rsidRDefault="00974BC6" w:rsidP="009C2732"/>
        </w:tc>
      </w:tr>
      <w:tr w:rsidR="00A56AE8" w14:paraId="0A503ECC" w14:textId="77777777" w:rsidTr="00692C91">
        <w:trPr>
          <w:trHeight w:val="432"/>
        </w:trPr>
        <w:tc>
          <w:tcPr>
            <w:tcW w:w="8977" w:type="dxa"/>
          </w:tcPr>
          <w:p w14:paraId="47E23C6E" w14:textId="77777777" w:rsidR="00D41EE3" w:rsidRDefault="00DC41F0" w:rsidP="009C2732">
            <w:pPr>
              <w:rPr>
                <w:rFonts w:cs="Arial"/>
                <w:sz w:val="24"/>
                <w:szCs w:val="24"/>
              </w:rPr>
            </w:pPr>
            <w:r>
              <w:rPr>
                <w:rFonts w:cs="Arial"/>
                <w:b/>
                <w:sz w:val="24"/>
                <w:szCs w:val="24"/>
              </w:rPr>
              <w:t xml:space="preserve">DISPONIBILIDAD PRESUPUESTAL. No aplica </w:t>
            </w:r>
          </w:p>
          <w:p w14:paraId="4D35216D" w14:textId="77777777" w:rsidR="00D41EE3" w:rsidRDefault="00D41EE3" w:rsidP="009C2732"/>
        </w:tc>
      </w:tr>
      <w:tr w:rsidR="00A56AE8" w14:paraId="34CE5B77" w14:textId="77777777" w:rsidTr="009C2732">
        <w:trPr>
          <w:trHeight w:val="806"/>
        </w:trPr>
        <w:tc>
          <w:tcPr>
            <w:tcW w:w="8977" w:type="dxa"/>
          </w:tcPr>
          <w:p w14:paraId="4385D6AD" w14:textId="77777777"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21642F" w:rsidRPr="0021642F">
              <w:rPr>
                <w:rFonts w:cs="Arial"/>
                <w:sz w:val="24"/>
                <w:szCs w:val="24"/>
              </w:rPr>
              <w:t>No  aplica</w:t>
            </w:r>
          </w:p>
          <w:p w14:paraId="00897807" w14:textId="77777777" w:rsidR="00D41EE3" w:rsidRDefault="00D41EE3" w:rsidP="009C2732"/>
        </w:tc>
      </w:tr>
      <w:tr w:rsidR="00A56AE8" w14:paraId="0D77AEC8" w14:textId="77777777" w:rsidTr="009C2732">
        <w:trPr>
          <w:trHeight w:val="1085"/>
        </w:trPr>
        <w:tc>
          <w:tcPr>
            <w:tcW w:w="8977" w:type="dxa"/>
          </w:tcPr>
          <w:p w14:paraId="6B97C38A" w14:textId="77777777" w:rsidR="00D41EE3" w:rsidRDefault="00D41EE3" w:rsidP="009C2732">
            <w:pPr>
              <w:rPr>
                <w:rFonts w:cs="Arial"/>
                <w:b/>
                <w:sz w:val="24"/>
                <w:szCs w:val="24"/>
              </w:rPr>
            </w:pPr>
          </w:p>
          <w:p w14:paraId="38356C46" w14:textId="001C664B" w:rsidR="00C65C5D" w:rsidRDefault="00AA6BD0" w:rsidP="009C2732">
            <w:pPr>
              <w:jc w:val="both"/>
              <w:rPr>
                <w:rFonts w:cs="Arial"/>
                <w:b/>
                <w:sz w:val="24"/>
                <w:szCs w:val="24"/>
              </w:rPr>
            </w:pPr>
            <w:r w:rsidRPr="008A563D">
              <w:rPr>
                <w:rFonts w:cs="Arial"/>
                <w:b/>
                <w:sz w:val="24"/>
                <w:szCs w:val="24"/>
              </w:rPr>
              <w:t>CUMPLIMIENTO DE LOS REQUISITOS DE CONSULTA Y PUBLICIDAD</w:t>
            </w:r>
            <w:r w:rsidRPr="004F7BFB">
              <w:rPr>
                <w:rFonts w:cs="Arial"/>
                <w:sz w:val="24"/>
                <w:szCs w:val="24"/>
              </w:rPr>
              <w:t xml:space="preserve">: </w:t>
            </w:r>
            <w:r w:rsidR="00202777">
              <w:rPr>
                <w:rFonts w:cs="Arial"/>
                <w:sz w:val="24"/>
                <w:szCs w:val="24"/>
              </w:rPr>
              <w:t>Fue publicado para</w:t>
            </w:r>
            <w:r w:rsidR="00B44160">
              <w:rPr>
                <w:rFonts w:cs="Arial"/>
                <w:sz w:val="24"/>
                <w:szCs w:val="24"/>
              </w:rPr>
              <w:t xml:space="preserve"> consideración de la </w:t>
            </w:r>
            <w:r w:rsidR="002B7543">
              <w:rPr>
                <w:rFonts w:cs="Arial"/>
                <w:sz w:val="24"/>
                <w:szCs w:val="24"/>
              </w:rPr>
              <w:t>ciudadanía del</w:t>
            </w:r>
            <w:r w:rsidR="00905BA6">
              <w:rPr>
                <w:rFonts w:cs="Arial"/>
                <w:sz w:val="24"/>
                <w:szCs w:val="24"/>
              </w:rPr>
              <w:t xml:space="preserve"> 19 al 27 de mayo de 2022.</w:t>
            </w:r>
          </w:p>
          <w:p w14:paraId="74878148" w14:textId="77777777" w:rsidR="00C65C5D" w:rsidRDefault="00C65C5D" w:rsidP="009C2732">
            <w:pPr>
              <w:jc w:val="both"/>
            </w:pPr>
          </w:p>
        </w:tc>
      </w:tr>
      <w:tr w:rsidR="00A971D7" w14:paraId="78273840" w14:textId="77777777" w:rsidTr="009C2732">
        <w:trPr>
          <w:trHeight w:val="701"/>
        </w:trPr>
        <w:tc>
          <w:tcPr>
            <w:tcW w:w="8977" w:type="dxa"/>
          </w:tcPr>
          <w:p w14:paraId="0E3A9307" w14:textId="567A037B" w:rsidR="009F5EF8" w:rsidRDefault="00D460FA" w:rsidP="00905BA6">
            <w:pPr>
              <w:rPr>
                <w:rFonts w:cs="Arial"/>
                <w:b/>
                <w:sz w:val="24"/>
                <w:szCs w:val="24"/>
              </w:rPr>
            </w:pPr>
            <w:r>
              <w:rPr>
                <w:rFonts w:cs="Arial"/>
                <w:b/>
                <w:sz w:val="24"/>
                <w:szCs w:val="24"/>
              </w:rPr>
              <w:t>COMENTARIOS DE LOS CIUDADANOS</w:t>
            </w:r>
            <w:r w:rsidR="004F7BFB">
              <w:rPr>
                <w:rFonts w:cs="Arial"/>
                <w:b/>
                <w:sz w:val="24"/>
                <w:szCs w:val="24"/>
              </w:rPr>
              <w:t xml:space="preserve">. </w:t>
            </w:r>
            <w:r w:rsidR="000B6E31">
              <w:rPr>
                <w:rFonts w:cs="Arial"/>
                <w:b/>
                <w:sz w:val="24"/>
                <w:szCs w:val="24"/>
              </w:rPr>
              <w:t xml:space="preserve"> </w:t>
            </w:r>
            <w:r w:rsidR="00905BA6" w:rsidRPr="00905BA6">
              <w:rPr>
                <w:rFonts w:cs="Arial"/>
                <w:bCs/>
                <w:sz w:val="24"/>
                <w:szCs w:val="24"/>
              </w:rPr>
              <w:t>Pendiente</w:t>
            </w:r>
          </w:p>
        </w:tc>
      </w:tr>
      <w:tr w:rsidR="00A56AE8" w14:paraId="5D5F03A7" w14:textId="77777777" w:rsidTr="009C2732">
        <w:trPr>
          <w:trHeight w:val="279"/>
        </w:trPr>
        <w:tc>
          <w:tcPr>
            <w:tcW w:w="8977" w:type="dxa"/>
          </w:tcPr>
          <w:p w14:paraId="13A5DEBF" w14:textId="77777777" w:rsidR="00A56AE8" w:rsidRDefault="00AA6BD0" w:rsidP="009C2732">
            <w:pPr>
              <w:jc w:val="both"/>
            </w:pPr>
            <w:r w:rsidRPr="008A563D">
              <w:rPr>
                <w:rFonts w:cs="Arial"/>
                <w:b/>
                <w:sz w:val="24"/>
                <w:szCs w:val="24"/>
              </w:rPr>
              <w:t>ASPECTOS ADICIONALES IMPORTANTES</w:t>
            </w:r>
            <w:r>
              <w:rPr>
                <w:rFonts w:cs="Arial"/>
                <w:b/>
                <w:sz w:val="24"/>
                <w:szCs w:val="24"/>
              </w:rPr>
              <w:t>:</w:t>
            </w:r>
          </w:p>
        </w:tc>
      </w:tr>
      <w:tr w:rsidR="00163713" w14:paraId="09C64822" w14:textId="77777777" w:rsidTr="009C2732">
        <w:trPr>
          <w:trHeight w:val="2000"/>
        </w:trPr>
        <w:tc>
          <w:tcPr>
            <w:tcW w:w="8977" w:type="dxa"/>
          </w:tcPr>
          <w:p w14:paraId="211BF556" w14:textId="77777777" w:rsidR="00163713" w:rsidRDefault="00163713" w:rsidP="009C2732">
            <w:pPr>
              <w:jc w:val="both"/>
              <w:rPr>
                <w:rFonts w:cs="Arial"/>
                <w:b/>
                <w:sz w:val="24"/>
                <w:szCs w:val="24"/>
              </w:rPr>
            </w:pPr>
          </w:p>
          <w:p w14:paraId="489FABA6"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3088DD1E" w14:textId="77777777" w:rsidR="00FA5FBB" w:rsidRDefault="00FA5FBB" w:rsidP="009C2732">
            <w:pPr>
              <w:jc w:val="both"/>
              <w:rPr>
                <w:rFonts w:cs="Arial"/>
                <w:sz w:val="24"/>
                <w:szCs w:val="24"/>
              </w:rPr>
            </w:pPr>
          </w:p>
          <w:p w14:paraId="0D978B43" w14:textId="77777777" w:rsidR="00FA5FBB" w:rsidRPr="00202777"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Pr="00202777">
              <w:rPr>
                <w:rFonts w:cs="Arial"/>
                <w:sz w:val="24"/>
                <w:szCs w:val="24"/>
              </w:rPr>
              <w:t xml:space="preserve"> es usual las modificaciones al mismo por cuanto es dinámico y debe estar en constante modificación </w:t>
            </w:r>
            <w:r>
              <w:rPr>
                <w:rFonts w:cs="Arial"/>
                <w:sz w:val="24"/>
                <w:szCs w:val="24"/>
              </w:rPr>
              <w:t xml:space="preserve">para ajustarlo a las </w:t>
            </w:r>
            <w:r w:rsidR="009C2C35">
              <w:rPr>
                <w:rFonts w:cs="Arial"/>
                <w:sz w:val="24"/>
                <w:szCs w:val="24"/>
              </w:rPr>
              <w:t>necesidades del mercado.</w:t>
            </w:r>
          </w:p>
        </w:tc>
      </w:tr>
    </w:tbl>
    <w:p w14:paraId="16C9FC12"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4B1" w14:textId="77777777" w:rsidR="00353DBB" w:rsidRDefault="00353DBB" w:rsidP="00143CFA">
      <w:r>
        <w:separator/>
      </w:r>
    </w:p>
  </w:endnote>
  <w:endnote w:type="continuationSeparator" w:id="0">
    <w:p w14:paraId="6823DD34" w14:textId="77777777" w:rsidR="00353DBB" w:rsidRDefault="00353DBB"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86F0" w14:textId="77777777" w:rsidR="00353DBB" w:rsidRDefault="00353DBB" w:rsidP="00143CFA">
      <w:r>
        <w:separator/>
      </w:r>
    </w:p>
  </w:footnote>
  <w:footnote w:type="continuationSeparator" w:id="0">
    <w:p w14:paraId="5CBCB499" w14:textId="77777777" w:rsidR="00353DBB" w:rsidRDefault="00353DBB"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6940"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61372FEE" wp14:editId="1D36B62C">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D8190" w14:textId="77777777" w:rsidR="009C2732" w:rsidRDefault="009C2732">
    <w:pPr>
      <w:pStyle w:val="Encabezado"/>
    </w:pPr>
  </w:p>
  <w:p w14:paraId="1B102577" w14:textId="77777777" w:rsidR="009C2732" w:rsidRDefault="009C2732">
    <w:pPr>
      <w:pStyle w:val="Encabezado"/>
    </w:pPr>
  </w:p>
  <w:p w14:paraId="557A09E4"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81D6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60334356">
    <w:abstractNumId w:val="2"/>
  </w:num>
  <w:num w:numId="2" w16cid:durableId="1600603748">
    <w:abstractNumId w:val="1"/>
  </w:num>
  <w:num w:numId="3" w16cid:durableId="1791318471">
    <w:abstractNumId w:val="3"/>
  </w:num>
  <w:num w:numId="4" w16cid:durableId="88422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71DE6"/>
    <w:rsid w:val="0008483B"/>
    <w:rsid w:val="00086658"/>
    <w:rsid w:val="00086DEF"/>
    <w:rsid w:val="0009232C"/>
    <w:rsid w:val="000B6E31"/>
    <w:rsid w:val="000F4094"/>
    <w:rsid w:val="00126DC0"/>
    <w:rsid w:val="00143CFA"/>
    <w:rsid w:val="0014739D"/>
    <w:rsid w:val="00163713"/>
    <w:rsid w:val="00170BC2"/>
    <w:rsid w:val="001F7234"/>
    <w:rsid w:val="00202777"/>
    <w:rsid w:val="00211908"/>
    <w:rsid w:val="0021642F"/>
    <w:rsid w:val="00231112"/>
    <w:rsid w:val="0023348A"/>
    <w:rsid w:val="00234935"/>
    <w:rsid w:val="002734B4"/>
    <w:rsid w:val="00274B0C"/>
    <w:rsid w:val="00274CB3"/>
    <w:rsid w:val="00282A1A"/>
    <w:rsid w:val="00283BEE"/>
    <w:rsid w:val="00296C8F"/>
    <w:rsid w:val="002A6F95"/>
    <w:rsid w:val="002B7543"/>
    <w:rsid w:val="002F1B64"/>
    <w:rsid w:val="002F5EFD"/>
    <w:rsid w:val="00327E68"/>
    <w:rsid w:val="00333246"/>
    <w:rsid w:val="0033481C"/>
    <w:rsid w:val="00335DCF"/>
    <w:rsid w:val="003367CE"/>
    <w:rsid w:val="00336FB2"/>
    <w:rsid w:val="00337786"/>
    <w:rsid w:val="003415E1"/>
    <w:rsid w:val="00353DBB"/>
    <w:rsid w:val="0036574C"/>
    <w:rsid w:val="003A07B5"/>
    <w:rsid w:val="003A568B"/>
    <w:rsid w:val="003B706C"/>
    <w:rsid w:val="003E5126"/>
    <w:rsid w:val="004024EB"/>
    <w:rsid w:val="00472E44"/>
    <w:rsid w:val="004B06FD"/>
    <w:rsid w:val="004D2607"/>
    <w:rsid w:val="004F79F8"/>
    <w:rsid w:val="004F7BFB"/>
    <w:rsid w:val="0051785D"/>
    <w:rsid w:val="005203A3"/>
    <w:rsid w:val="00557544"/>
    <w:rsid w:val="005902B8"/>
    <w:rsid w:val="005B341E"/>
    <w:rsid w:val="00615C52"/>
    <w:rsid w:val="00691602"/>
    <w:rsid w:val="00692C91"/>
    <w:rsid w:val="006B3A17"/>
    <w:rsid w:val="006B590A"/>
    <w:rsid w:val="006C0ED1"/>
    <w:rsid w:val="006F26C0"/>
    <w:rsid w:val="007048A7"/>
    <w:rsid w:val="00721051"/>
    <w:rsid w:val="00725341"/>
    <w:rsid w:val="00730061"/>
    <w:rsid w:val="0077692F"/>
    <w:rsid w:val="00783B7F"/>
    <w:rsid w:val="007913FA"/>
    <w:rsid w:val="00797504"/>
    <w:rsid w:val="00797689"/>
    <w:rsid w:val="007977EC"/>
    <w:rsid w:val="007A35B2"/>
    <w:rsid w:val="007C5AF0"/>
    <w:rsid w:val="007D2AFD"/>
    <w:rsid w:val="00836BC0"/>
    <w:rsid w:val="008470B4"/>
    <w:rsid w:val="008516AF"/>
    <w:rsid w:val="00893213"/>
    <w:rsid w:val="008B3C6C"/>
    <w:rsid w:val="008B4EE1"/>
    <w:rsid w:val="008D3C07"/>
    <w:rsid w:val="008D600D"/>
    <w:rsid w:val="008E1BA1"/>
    <w:rsid w:val="008F28CD"/>
    <w:rsid w:val="00905BA6"/>
    <w:rsid w:val="009453CC"/>
    <w:rsid w:val="00974BC6"/>
    <w:rsid w:val="009918A3"/>
    <w:rsid w:val="009943CE"/>
    <w:rsid w:val="009943E1"/>
    <w:rsid w:val="009A0DA1"/>
    <w:rsid w:val="009A4994"/>
    <w:rsid w:val="009A6494"/>
    <w:rsid w:val="009C2732"/>
    <w:rsid w:val="009C2C35"/>
    <w:rsid w:val="009E62E5"/>
    <w:rsid w:val="009F5EF8"/>
    <w:rsid w:val="00A13EA8"/>
    <w:rsid w:val="00A31A6D"/>
    <w:rsid w:val="00A40889"/>
    <w:rsid w:val="00A56AE8"/>
    <w:rsid w:val="00A57554"/>
    <w:rsid w:val="00A57862"/>
    <w:rsid w:val="00A606B7"/>
    <w:rsid w:val="00A66EFE"/>
    <w:rsid w:val="00A72D26"/>
    <w:rsid w:val="00A747EB"/>
    <w:rsid w:val="00A91563"/>
    <w:rsid w:val="00A965D8"/>
    <w:rsid w:val="00A971D7"/>
    <w:rsid w:val="00AA6BD0"/>
    <w:rsid w:val="00B2436C"/>
    <w:rsid w:val="00B31CD9"/>
    <w:rsid w:val="00B44160"/>
    <w:rsid w:val="00B67328"/>
    <w:rsid w:val="00BE2D29"/>
    <w:rsid w:val="00C0667D"/>
    <w:rsid w:val="00C168A3"/>
    <w:rsid w:val="00C3175A"/>
    <w:rsid w:val="00C3361D"/>
    <w:rsid w:val="00C33D66"/>
    <w:rsid w:val="00C65C5D"/>
    <w:rsid w:val="00C86116"/>
    <w:rsid w:val="00CA57DD"/>
    <w:rsid w:val="00CC30A9"/>
    <w:rsid w:val="00CD06A4"/>
    <w:rsid w:val="00CF462B"/>
    <w:rsid w:val="00D155AF"/>
    <w:rsid w:val="00D41EE3"/>
    <w:rsid w:val="00D460FA"/>
    <w:rsid w:val="00D56182"/>
    <w:rsid w:val="00D7791B"/>
    <w:rsid w:val="00D8316D"/>
    <w:rsid w:val="00DA1B43"/>
    <w:rsid w:val="00DA5DC6"/>
    <w:rsid w:val="00DB3E1E"/>
    <w:rsid w:val="00DC41F0"/>
    <w:rsid w:val="00DD3C0C"/>
    <w:rsid w:val="00E32C35"/>
    <w:rsid w:val="00E5024A"/>
    <w:rsid w:val="00E54F6B"/>
    <w:rsid w:val="00E564EE"/>
    <w:rsid w:val="00E573DA"/>
    <w:rsid w:val="00E92FC8"/>
    <w:rsid w:val="00E952F1"/>
    <w:rsid w:val="00EC5DBC"/>
    <w:rsid w:val="00EC72CE"/>
    <w:rsid w:val="00ED704A"/>
    <w:rsid w:val="00ED71E6"/>
    <w:rsid w:val="00EE2EA4"/>
    <w:rsid w:val="00EE3EC4"/>
    <w:rsid w:val="00F002F4"/>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A9C48"/>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29374804">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B89A7-F1C3-45C8-B4FD-C5D13178ACD2}">
  <ds:schemaRefs>
    <ds:schemaRef ds:uri="http://schemas.openxmlformats.org/officeDocument/2006/bibliography"/>
  </ds:schemaRefs>
</ds:datastoreItem>
</file>

<file path=customXml/itemProps2.xml><?xml version="1.0" encoding="utf-8"?>
<ds:datastoreItem xmlns:ds="http://schemas.openxmlformats.org/officeDocument/2006/customXml" ds:itemID="{267AF4A1-3454-4A95-85BA-C2B7B1D8A1CE}"/>
</file>

<file path=customXml/itemProps3.xml><?xml version="1.0" encoding="utf-8"?>
<ds:datastoreItem xmlns:ds="http://schemas.openxmlformats.org/officeDocument/2006/customXml" ds:itemID="{37D8927A-A7D2-48F9-A8FB-AD6F4E9CF47B}"/>
</file>

<file path=customXml/itemProps4.xml><?xml version="1.0" encoding="utf-8"?>
<ds:datastoreItem xmlns:ds="http://schemas.openxmlformats.org/officeDocument/2006/customXml" ds:itemID="{6AA07343-74BA-4BCD-9CF0-356D6AD3B9CA}"/>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2522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Zgonzalez</dc:creator>
  <cp:lastModifiedBy>Zulma Patricia Gonzalez Muñoz</cp:lastModifiedBy>
  <cp:revision>9</cp:revision>
  <cp:lastPrinted>2019-12-03T19:43:00Z</cp:lastPrinted>
  <dcterms:created xsi:type="dcterms:W3CDTF">2022-05-19T16:23:00Z</dcterms:created>
  <dcterms:modified xsi:type="dcterms:W3CDTF">2022-05-19T16:29:00Z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