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715"/>
      </w:tblGrid>
      <w:tr w:rsidR="00745B7E" w:rsidRPr="00F8512A" w14:paraId="0E221ED5" w14:textId="77777777" w:rsidTr="001F4509">
        <w:trPr>
          <w:trHeight w:val="852"/>
        </w:trPr>
        <w:tc>
          <w:tcPr>
            <w:tcW w:w="2666"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75"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715"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1F4509">
        <w:trPr>
          <w:trHeight w:val="692"/>
        </w:trPr>
        <w:tc>
          <w:tcPr>
            <w:tcW w:w="2666"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4975"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715" w:type="dxa"/>
            <w:vAlign w:val="center"/>
          </w:tcPr>
          <w:p w14:paraId="30EC9898" w14:textId="745EF0F0"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1F4509">
              <w:rPr>
                <w:rFonts w:ascii="Arial" w:hAnsi="Arial" w:cs="Arial"/>
                <w:b/>
                <w:sz w:val="26"/>
                <w:szCs w:val="26"/>
              </w:rPr>
              <w:t>4</w:t>
            </w:r>
          </w:p>
        </w:tc>
      </w:tr>
    </w:tbl>
    <w:p w14:paraId="7D918359" w14:textId="77777777" w:rsidR="00A7613C" w:rsidRPr="00745B7E" w:rsidRDefault="00A7613C" w:rsidP="0079312D">
      <w:pPr>
        <w:rPr>
          <w:rFonts w:ascii="Arial" w:hAnsi="Arial" w:cs="Arial"/>
          <w:lang w:val="es-E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41"/>
      </w:tblGrid>
      <w:tr w:rsidR="006852D6" w:rsidRPr="00745B7E" w14:paraId="38080112" w14:textId="77777777" w:rsidTr="001F4509">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96"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001F4509">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96"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F66182" w:rsidRPr="00745B7E" w14:paraId="26DB7065" w14:textId="77777777" w:rsidTr="001F4509">
        <w:trPr>
          <w:cantSplit/>
          <w:trHeight w:val="370"/>
        </w:trPr>
        <w:tc>
          <w:tcPr>
            <w:tcW w:w="9356"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001F4509">
        <w:trPr>
          <w:cantSplit/>
          <w:trHeight w:val="310"/>
        </w:trPr>
        <w:tc>
          <w:tcPr>
            <w:tcW w:w="9356"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001F4509">
        <w:trPr>
          <w:cantSplit/>
          <w:trHeight w:val="388"/>
        </w:trPr>
        <w:tc>
          <w:tcPr>
            <w:tcW w:w="9356"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001F4509">
        <w:trPr>
          <w:cantSplit/>
          <w:trHeight w:val="325"/>
        </w:trPr>
        <w:tc>
          <w:tcPr>
            <w:tcW w:w="9356"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001F4509">
        <w:trPr>
          <w:cantSplit/>
          <w:trHeight w:val="390"/>
        </w:trPr>
        <w:tc>
          <w:tcPr>
            <w:tcW w:w="9356"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001F4509">
        <w:trPr>
          <w:cantSplit/>
          <w:trHeight w:val="390"/>
        </w:trPr>
        <w:tc>
          <w:tcPr>
            <w:tcW w:w="9356"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001F4509">
        <w:trPr>
          <w:cantSplit/>
          <w:trHeight w:val="390"/>
        </w:trPr>
        <w:tc>
          <w:tcPr>
            <w:tcW w:w="9356"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001F4509">
        <w:trPr>
          <w:cantSplit/>
          <w:trHeight w:val="7471"/>
        </w:trPr>
        <w:tc>
          <w:tcPr>
            <w:tcW w:w="9356"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001F4509">
        <w:trPr>
          <w:gridAfter w:val="1"/>
          <w:wAfter w:w="141"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Que de acuerdo al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5927824B" w14:textId="77777777" w:rsidR="001F4509" w:rsidRDefault="001F4509" w:rsidP="001F4509">
            <w:pPr>
              <w:pStyle w:val="Prrafodelista"/>
              <w:autoSpaceDE w:val="0"/>
              <w:autoSpaceDN w:val="0"/>
              <w:adjustRightInd w:val="0"/>
              <w:ind w:left="720"/>
              <w:rPr>
                <w:lang w:eastAsia="es-CO"/>
              </w:rPr>
            </w:pPr>
          </w:p>
          <w:p w14:paraId="38A3C9C2" w14:textId="58AC3884" w:rsidR="001F4509" w:rsidRDefault="00C01C4E" w:rsidP="001F4509">
            <w:pPr>
              <w:pStyle w:val="Prrafodelista"/>
              <w:autoSpaceDE w:val="0"/>
              <w:autoSpaceDN w:val="0"/>
              <w:adjustRightInd w:val="0"/>
              <w:ind w:left="720"/>
              <w:rPr>
                <w:lang w:eastAsia="es-CO"/>
              </w:rPr>
            </w:pPr>
            <w:r>
              <w:rPr>
                <w:lang w:eastAsia="es-CO"/>
              </w:rPr>
              <w:t xml:space="preserve">La modificación </w:t>
            </w:r>
            <w:r w:rsidRPr="001F4509">
              <w:rPr>
                <w:lang w:eastAsia="es-CO"/>
              </w:rPr>
              <w:t>del</w:t>
            </w:r>
            <w:r w:rsidR="001F4509" w:rsidRPr="001F4509">
              <w:rPr>
                <w:lang w:eastAsia="es-CO"/>
              </w:rPr>
              <w:t xml:space="preserve"> Capítulo 2, numeral 2.19.1.3 – Sustitución del bien dado en garantía, precisando que el inmueble destinado a sustituir la garantía hipotecaria deberá ser propiedad del afiliado(a); del afiliado(a) junto con su deudor solidario no afiliado(a); o del afiliado(a) y cualquiera de los miembros del hogar. En ningún caso, la relación saldo de la deuda / valor de la garantía (LTV) podrá superar el 70%. Además, será obligatorio contar con un estudio de títulos favorable y un avalúo sin salvedades, realizado por uno de los valuadores autorizados por el Fondo Nacional del Ahorro S.A.</w:t>
            </w:r>
          </w:p>
          <w:p w14:paraId="76181EB3" w14:textId="77777777" w:rsidR="001F4509" w:rsidRPr="001F4509" w:rsidRDefault="001F4509" w:rsidP="001F4509">
            <w:pPr>
              <w:pStyle w:val="Prrafodelista"/>
              <w:autoSpaceDE w:val="0"/>
              <w:autoSpaceDN w:val="0"/>
              <w:adjustRightInd w:val="0"/>
              <w:ind w:left="720"/>
              <w:rPr>
                <w:lang w:eastAsia="es-CO"/>
              </w:rPr>
            </w:pPr>
          </w:p>
          <w:p w14:paraId="7E7FE1BA" w14:textId="5333BB0D" w:rsidR="001F4509" w:rsidRDefault="001F4509" w:rsidP="001F4509">
            <w:pPr>
              <w:pStyle w:val="Prrafodelista"/>
              <w:autoSpaceDE w:val="0"/>
              <w:autoSpaceDN w:val="0"/>
              <w:adjustRightInd w:val="0"/>
              <w:ind w:left="720"/>
              <w:rPr>
                <w:lang w:eastAsia="es-CO"/>
              </w:rPr>
            </w:pPr>
            <w:r w:rsidRPr="001F4509">
              <w:rPr>
                <w:lang w:eastAsia="es-CO"/>
              </w:rPr>
              <w:t xml:space="preserve">Asimismo, </w:t>
            </w:r>
            <w:r w:rsidR="00C01C4E">
              <w:rPr>
                <w:lang w:eastAsia="es-CO"/>
              </w:rPr>
              <w:t xml:space="preserve">la </w:t>
            </w:r>
            <w:r w:rsidRPr="001F4509">
              <w:rPr>
                <w:lang w:eastAsia="es-CO"/>
              </w:rPr>
              <w:t xml:space="preserve"> </w:t>
            </w:r>
            <w:r w:rsidR="00C01C4E" w:rsidRPr="001F4509">
              <w:rPr>
                <w:lang w:eastAsia="es-CO"/>
              </w:rPr>
              <w:t>adición</w:t>
            </w:r>
            <w:r w:rsidRPr="001F4509">
              <w:rPr>
                <w:lang w:eastAsia="es-CO"/>
              </w:rPr>
              <w:t xml:space="preserve"> </w:t>
            </w:r>
            <w:r w:rsidR="00BB2846">
              <w:rPr>
                <w:lang w:eastAsia="es-CO"/>
              </w:rPr>
              <w:t>de</w:t>
            </w:r>
            <w:r w:rsidR="00BB2846" w:rsidRPr="001F4509">
              <w:rPr>
                <w:lang w:eastAsia="es-CO"/>
              </w:rPr>
              <w:t xml:space="preserve"> un</w:t>
            </w:r>
            <w:r w:rsidRPr="001F4509">
              <w:rPr>
                <w:lang w:eastAsia="es-CO"/>
              </w:rPr>
              <w:t xml:space="preserve"> parágrafo aclaratorio: cuando la sustitución de la garantía recaiga sobre un inmueble en el que intervenga una constructora, podrán celebrarse actos jurídicos de permuta entre el inmueble inicial y el nuevo, de manera simultánea con la sustitución, dentro del mismo instrumento público. (…)</w:t>
            </w:r>
          </w:p>
          <w:p w14:paraId="0E6E4BAF" w14:textId="77777777" w:rsidR="00C01C4E" w:rsidRDefault="00C01C4E" w:rsidP="001F4509">
            <w:pPr>
              <w:pStyle w:val="Prrafodelista"/>
              <w:autoSpaceDE w:val="0"/>
              <w:autoSpaceDN w:val="0"/>
              <w:adjustRightInd w:val="0"/>
              <w:ind w:left="720"/>
              <w:rPr>
                <w:lang w:eastAsia="es-CO"/>
              </w:rPr>
            </w:pPr>
          </w:p>
          <w:p w14:paraId="09872098" w14:textId="75EF6203" w:rsidR="00BB2846" w:rsidRPr="009163F7" w:rsidRDefault="00C01C4E" w:rsidP="00BB2846">
            <w:pPr>
              <w:ind w:left="747"/>
              <w:jc w:val="both"/>
              <w:rPr>
                <w:rFonts w:ascii="Arial" w:eastAsia="Arial" w:hAnsi="Arial" w:cs="Arial"/>
                <w:color w:val="000000" w:themeColor="text1"/>
                <w:lang w:val="es-MX"/>
              </w:rPr>
            </w:pPr>
            <w:r w:rsidRPr="00F8512A">
              <w:rPr>
                <w:rFonts w:ascii="Arial" w:hAnsi="Arial" w:cs="Arial"/>
                <w:color w:val="000000" w:themeColor="text1"/>
              </w:rPr>
              <w:t xml:space="preserve">La ampliación de la </w:t>
            </w:r>
            <w:r w:rsidR="00BB2846" w:rsidRPr="00F8512A">
              <w:rPr>
                <w:rFonts w:ascii="Arial" w:hAnsi="Arial" w:cs="Arial"/>
                <w:color w:val="000000" w:themeColor="text1"/>
              </w:rPr>
              <w:t>entrada en vigor</w:t>
            </w:r>
            <w:r w:rsidRPr="00F8512A">
              <w:rPr>
                <w:rFonts w:ascii="Arial" w:hAnsi="Arial" w:cs="Arial"/>
                <w:color w:val="000000" w:themeColor="text1"/>
              </w:rPr>
              <w:t xml:space="preserve"> </w:t>
            </w:r>
            <w:r w:rsidR="00BB2846" w:rsidRPr="00F8512A">
              <w:rPr>
                <w:rFonts w:ascii="Arial" w:hAnsi="Arial" w:cs="Arial"/>
                <w:color w:val="000000" w:themeColor="text1"/>
              </w:rPr>
              <w:t xml:space="preserve">del </w:t>
            </w:r>
            <w:r w:rsidR="00BB2846" w:rsidRPr="00BB2846">
              <w:rPr>
                <w:rFonts w:ascii="Arial" w:eastAsia="Arial" w:hAnsi="Arial" w:cs="Arial"/>
                <w:color w:val="000000" w:themeColor="text1"/>
                <w:lang w:val="es-MX"/>
              </w:rPr>
              <w:t>Crédito Asociativo (Capítulo 6) hasta el 30 de mayo de</w:t>
            </w:r>
            <w:r w:rsidR="00BB2846" w:rsidRPr="009163F7">
              <w:rPr>
                <w:rFonts w:ascii="Arial" w:eastAsia="Arial" w:hAnsi="Arial" w:cs="Arial"/>
                <w:color w:val="000000" w:themeColor="text1"/>
                <w:lang w:val="es-MX"/>
              </w:rPr>
              <w:t xml:space="preserve"> 2026, debido a que no se han completado los desarrollos tecnológicos requeridos, incluyendo la integración con sistemas de aseguramiento y la adecuación del </w:t>
            </w:r>
            <w:proofErr w:type="spellStart"/>
            <w:r w:rsidR="00BB2846" w:rsidRPr="009163F7">
              <w:rPr>
                <w:rFonts w:ascii="Arial" w:eastAsia="Arial" w:hAnsi="Arial" w:cs="Arial"/>
                <w:color w:val="000000" w:themeColor="text1"/>
                <w:lang w:val="es-MX"/>
              </w:rPr>
              <w:t>core</w:t>
            </w:r>
            <w:proofErr w:type="spellEnd"/>
            <w:r w:rsidR="00BB2846" w:rsidRPr="009163F7">
              <w:rPr>
                <w:rFonts w:ascii="Arial" w:eastAsia="Arial" w:hAnsi="Arial" w:cs="Arial"/>
                <w:color w:val="000000" w:themeColor="text1"/>
                <w:lang w:val="es-MX"/>
              </w:rPr>
              <w:t xml:space="preserve"> de crédito. </w:t>
            </w:r>
          </w:p>
          <w:p w14:paraId="42EEFAA8" w14:textId="017B6785" w:rsidR="001F4509" w:rsidRDefault="001F4509" w:rsidP="001F4509">
            <w:pPr>
              <w:pStyle w:val="Prrafodelista"/>
              <w:autoSpaceDE w:val="0"/>
              <w:autoSpaceDN w:val="0"/>
              <w:adjustRightInd w:val="0"/>
              <w:ind w:left="720"/>
              <w:rPr>
                <w:lang w:eastAsia="es-CO"/>
              </w:rPr>
            </w:pPr>
          </w:p>
          <w:p w14:paraId="7615D9D8" w14:textId="77777777" w:rsidR="001F4509" w:rsidRDefault="001F4509" w:rsidP="001F4509">
            <w:pPr>
              <w:pStyle w:val="Prrafodelista"/>
              <w:autoSpaceDE w:val="0"/>
              <w:autoSpaceDN w:val="0"/>
              <w:adjustRightInd w:val="0"/>
              <w:ind w:left="720"/>
              <w:rPr>
                <w:lang w:eastAsia="es-CO"/>
              </w:rPr>
            </w:pPr>
          </w:p>
          <w:p w14:paraId="71D12E1D" w14:textId="77777777" w:rsidR="001F4509" w:rsidRPr="001F4509" w:rsidRDefault="001F4509" w:rsidP="001F4509">
            <w:pPr>
              <w:pStyle w:val="Prrafodelista"/>
              <w:autoSpaceDE w:val="0"/>
              <w:autoSpaceDN w:val="0"/>
              <w:adjustRightInd w:val="0"/>
              <w:ind w:left="720"/>
              <w:rPr>
                <w:lang w:eastAsia="es-CO"/>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43ABA1D7" w14:textId="539EC6C0" w:rsidR="009163F7" w:rsidRDefault="009163F7" w:rsidP="0056673D">
            <w:pPr>
              <w:pStyle w:val="Prrafodelista"/>
              <w:autoSpaceDE w:val="0"/>
              <w:autoSpaceDN w:val="0"/>
              <w:adjustRightInd w:val="0"/>
              <w:ind w:left="720"/>
              <w:rPr>
                <w:lang w:val="es-CO" w:eastAsia="es-CO"/>
              </w:rPr>
            </w:pPr>
            <w:r w:rsidRPr="009163F7">
              <w:rPr>
                <w:lang w:val="es-CO" w:eastAsia="es-CO"/>
              </w:rPr>
              <w:t>La versión 14 del Reglamento de Crédito y Leasing Habitacional regirá a partir de su publicación. Sin embargo, la entrada en vigor de los siguientes numerales se aplaza conforme a lo indicado:</w:t>
            </w:r>
          </w:p>
          <w:p w14:paraId="381461ED" w14:textId="77777777" w:rsidR="009163F7" w:rsidRDefault="009163F7" w:rsidP="0056673D">
            <w:pPr>
              <w:pStyle w:val="Prrafodelista"/>
              <w:autoSpaceDE w:val="0"/>
              <w:autoSpaceDN w:val="0"/>
              <w:adjustRightInd w:val="0"/>
              <w:ind w:left="720"/>
              <w:rPr>
                <w:lang w:eastAsia="es-CO"/>
              </w:rPr>
            </w:pPr>
          </w:p>
          <w:p w14:paraId="1589DA97" w14:textId="77777777" w:rsidR="009163F7" w:rsidRPr="009163F7" w:rsidRDefault="009163F7" w:rsidP="009163F7">
            <w:pPr>
              <w:ind w:left="747"/>
              <w:jc w:val="both"/>
              <w:rPr>
                <w:rFonts w:ascii="Arial" w:eastAsia="Arial" w:hAnsi="Arial" w:cs="Arial"/>
                <w:color w:val="000000" w:themeColor="text1"/>
                <w:lang w:val="es-MX"/>
              </w:rPr>
            </w:pPr>
            <w:r w:rsidRPr="009163F7">
              <w:rPr>
                <w:rFonts w:ascii="Arial" w:eastAsia="Arial" w:hAnsi="Arial" w:cs="Arial"/>
                <w:color w:val="000000" w:themeColor="text1"/>
                <w:lang w:val="es-MX"/>
              </w:rPr>
              <w:t>Crédito Asociativo (Capítulo 6): Su implementación se pospone hasta el 30 de mayo de 2026, debido a que no se han completado los desarrollos tecnológicos requeridos, incluyendo la integración con sistemas de aseguramiento y la adecuación del core de crédito. Este ajuste busca mitigar riesgos operativos y regulatorios, garantizar la estabilidad del proceso y preservar la experiencia del afiliado, en línea con los estándares de calidad y cumplimiento normativo de la entidad.</w:t>
            </w:r>
          </w:p>
          <w:p w14:paraId="2ACC495B" w14:textId="64938DD2" w:rsidR="006212F5" w:rsidRPr="009163F7" w:rsidRDefault="009163F7" w:rsidP="009163F7">
            <w:pPr>
              <w:ind w:left="747"/>
              <w:jc w:val="both"/>
              <w:rPr>
                <w:rFonts w:ascii="Arial" w:eastAsia="Arial" w:hAnsi="Arial" w:cs="Arial"/>
                <w:color w:val="000000" w:themeColor="text1"/>
                <w:lang w:val="es-MX"/>
              </w:rPr>
            </w:pPr>
            <w:r w:rsidRPr="009163F7">
              <w:rPr>
                <w:rFonts w:ascii="Arial" w:eastAsia="Arial" w:hAnsi="Arial" w:cs="Arial"/>
                <w:color w:val="000000" w:themeColor="text1"/>
                <w:lang w:val="es-MX"/>
              </w:rPr>
              <w:t>Además, para este producto deberá surtirse satisfactoriamente el proceso licitatorio correspondiente a las pólizas de seguros requeridas, conforme a la normativa vigente y a los lineamientos establecidos por las áreas competentes.</w:t>
            </w:r>
          </w:p>
          <w:p w14:paraId="0CC5E2FA" w14:textId="77777777" w:rsidR="009163F7" w:rsidRDefault="009163F7" w:rsidP="009163F7">
            <w:pPr>
              <w:pStyle w:val="Prrafodelista"/>
              <w:ind w:left="720"/>
              <w:rPr>
                <w:color w:val="000000" w:themeColor="text1"/>
              </w:rPr>
            </w:pPr>
          </w:p>
          <w:p w14:paraId="71D828A3" w14:textId="21E825F9" w:rsidR="001978A0" w:rsidRPr="009163F7" w:rsidRDefault="009163F7" w:rsidP="009163F7">
            <w:pPr>
              <w:pStyle w:val="Prrafodelista"/>
              <w:ind w:left="720"/>
              <w:rPr>
                <w:color w:val="000000" w:themeColor="text1"/>
              </w:rPr>
            </w:pPr>
            <w:r w:rsidRPr="009163F7">
              <w:rPr>
                <w:color w:val="000000" w:themeColor="text1"/>
              </w:rPr>
              <w:t xml:space="preserve">Capítulo 4 – Crédito Educativo </w:t>
            </w:r>
            <w:r>
              <w:rPr>
                <w:color w:val="000000" w:themeColor="text1"/>
              </w:rPr>
              <w:t xml:space="preserve">para </w:t>
            </w:r>
            <w:r w:rsidRPr="009163F7">
              <w:rPr>
                <w:color w:val="000000" w:themeColor="text1"/>
              </w:rPr>
              <w:t>AVC y Cesantías y Crédito de Mejora de Vivienda sin Constitución de Garantía Hipotecaria: Entrarán en vigor a partir del 30 de junio de 2026, o antes si se cuenta con la viabilidad técnica. Para el segundo producto, también se deberá cumplir el proceso licitatorio de las pólizas de seguros requeridas, conforme a la normativa vigente y a los lineamientos establecidos por las áreas competentes</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24A45BF0" w14:textId="77777777" w:rsidR="001F4509" w:rsidRDefault="001F4509" w:rsidP="5BFFA4DA">
      <w:pPr>
        <w:pStyle w:val="Prrafodelista"/>
        <w:ind w:left="720"/>
      </w:pPr>
    </w:p>
    <w:p w14:paraId="3A3B7309" w14:textId="77777777" w:rsidR="001F4509" w:rsidRDefault="001F4509" w:rsidP="5BFFA4DA">
      <w:pPr>
        <w:pStyle w:val="Prrafodelista"/>
        <w:ind w:left="720"/>
      </w:pPr>
    </w:p>
    <w:p w14:paraId="7600A317" w14:textId="77777777" w:rsidR="001F4509" w:rsidRDefault="001F4509" w:rsidP="5BFFA4DA">
      <w:pPr>
        <w:pStyle w:val="Prrafodelista"/>
        <w:ind w:left="720"/>
      </w:pPr>
    </w:p>
    <w:p w14:paraId="197D6BB3" w14:textId="77777777" w:rsidR="001F4509" w:rsidRDefault="001F4509" w:rsidP="5BFFA4DA">
      <w:pPr>
        <w:pStyle w:val="Prrafodelista"/>
        <w:ind w:left="720"/>
      </w:pPr>
    </w:p>
    <w:p w14:paraId="4AC8CA24" w14:textId="77777777" w:rsidR="001F4509" w:rsidRDefault="001F4509" w:rsidP="5BFFA4DA">
      <w:pPr>
        <w:pStyle w:val="Prrafodelista"/>
        <w:ind w:left="720"/>
      </w:pPr>
    </w:p>
    <w:p w14:paraId="5270D629" w14:textId="77777777" w:rsidR="001F4509" w:rsidRDefault="001F4509" w:rsidP="5BFFA4DA">
      <w:pPr>
        <w:pStyle w:val="Prrafodelista"/>
        <w:ind w:left="720"/>
      </w:pPr>
    </w:p>
    <w:p w14:paraId="7719B5CA" w14:textId="77777777" w:rsidR="001F4509" w:rsidRDefault="001F4509" w:rsidP="5BFFA4DA">
      <w:pPr>
        <w:pStyle w:val="Prrafodelista"/>
        <w:ind w:left="720"/>
      </w:pPr>
    </w:p>
    <w:p w14:paraId="703CAAFA" w14:textId="77777777" w:rsidR="001F4509" w:rsidRDefault="001F4509" w:rsidP="5BFFA4DA">
      <w:pPr>
        <w:pStyle w:val="Prrafodelista"/>
        <w:ind w:left="720"/>
      </w:pPr>
    </w:p>
    <w:p w14:paraId="3647EE59" w14:textId="77777777" w:rsidR="001F4509" w:rsidRDefault="001F4509" w:rsidP="5BFFA4DA">
      <w:pPr>
        <w:pStyle w:val="Prrafodelista"/>
        <w:ind w:left="720"/>
      </w:pPr>
    </w:p>
    <w:p w14:paraId="20CFE434" w14:textId="77777777" w:rsidR="001F4509" w:rsidRDefault="001F4509"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Nacional; 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lastRenderedPageBreak/>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  para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 xml:space="preserve">Mejora de </w:t>
      </w:r>
      <w:r w:rsidR="003D012B" w:rsidRPr="009A3EBA">
        <w:rPr>
          <w:rFonts w:ascii="Arial" w:hAnsi="Arial" w:cs="Arial"/>
        </w:rPr>
        <w:lastRenderedPageBreak/>
        <w:t>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cualquier variación de la información suministrada en la solicitud de crédito o leasing habitacional antes del perfeccionamiento y desembolso del mismo.</w:t>
      </w:r>
    </w:p>
    <w:p w14:paraId="6FD9A531" w14:textId="77777777" w:rsidR="00060276" w:rsidRDefault="0006027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lastRenderedPageBreak/>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9A3EBA">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S.A.,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bookmarkStart w:id="59" w:name="_Hlk212119679"/>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60" w:name="_Toc305584926"/>
      <w:bookmarkStart w:id="61" w:name="_Toc437449236"/>
      <w:bookmarkStart w:id="62" w:name="_Toc438121683"/>
      <w:bookmarkStart w:id="63" w:name="_Toc34388206"/>
      <w:bookmarkStart w:id="64" w:name="_Toc39766995"/>
      <w:bookmarkStart w:id="65" w:name="_Toc41672026"/>
      <w:r w:rsidRPr="002121E7">
        <w:rPr>
          <w:rFonts w:ascii="Arial" w:hAnsi="Arial" w:cs="Arial"/>
          <w:szCs w:val="24"/>
          <w:u w:val="none"/>
        </w:rPr>
        <w:t>SEGUROS</w:t>
      </w:r>
      <w:bookmarkEnd w:id="60"/>
      <w:bookmarkEnd w:id="61"/>
      <w:bookmarkEnd w:id="62"/>
      <w:bookmarkEnd w:id="63"/>
      <w:bookmarkEnd w:id="64"/>
      <w:bookmarkEnd w:id="65"/>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lastRenderedPageBreak/>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6" w:name="_Toc305584927"/>
      <w:bookmarkStart w:id="67" w:name="_Toc305585130"/>
      <w:bookmarkStart w:id="68" w:name="_Toc437449237"/>
      <w:r w:rsidRPr="00492AE3">
        <w:rPr>
          <w:szCs w:val="24"/>
        </w:rPr>
        <w:t>Seguro de vida grupo deudores</w:t>
      </w:r>
      <w:bookmarkEnd w:id="66"/>
      <w:bookmarkEnd w:id="67"/>
      <w:bookmarkEnd w:id="68"/>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9" w:name="_Toc305584928"/>
      <w:bookmarkStart w:id="70" w:name="_Toc305585131"/>
      <w:bookmarkStart w:id="71" w:name="_Toc437449238"/>
      <w:r w:rsidRPr="00492AE3">
        <w:rPr>
          <w:szCs w:val="24"/>
        </w:rPr>
        <w:t>Seguro de incendio grupo deudores</w:t>
      </w:r>
      <w:bookmarkEnd w:id="69"/>
      <w:bookmarkEnd w:id="70"/>
      <w:bookmarkEnd w:id="71"/>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2" w:name="_Toc305584929"/>
      <w:bookmarkStart w:id="73" w:name="_Toc305585132"/>
      <w:bookmarkStart w:id="74" w:name="_Toc437449239"/>
      <w:r w:rsidRPr="00492AE3">
        <w:rPr>
          <w:szCs w:val="24"/>
        </w:rPr>
        <w:t>Seguro de Desempleo para Afiliados por Cesantías</w:t>
      </w:r>
      <w:bookmarkEnd w:id="72"/>
      <w:bookmarkEnd w:id="73"/>
      <w:bookmarkEnd w:id="74"/>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5" w:name="_Toc305584930"/>
      <w:bookmarkStart w:id="76" w:name="_Toc305585133"/>
      <w:bookmarkStart w:id="77" w:name="_Toc437449240"/>
      <w:bookmarkEnd w:id="59"/>
      <w:r w:rsidRPr="00492AE3">
        <w:rPr>
          <w:szCs w:val="24"/>
        </w:rPr>
        <w:t>Otros seguros</w:t>
      </w:r>
      <w:bookmarkEnd w:id="75"/>
      <w:bookmarkEnd w:id="76"/>
      <w:bookmarkEnd w:id="77"/>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8" w:name="_Toc437449241"/>
      <w:bookmarkStart w:id="79" w:name="_Toc438121684"/>
      <w:bookmarkStart w:id="80" w:name="_Toc34388207"/>
      <w:bookmarkStart w:id="81" w:name="_Toc39766996"/>
      <w:bookmarkStart w:id="82" w:name="_Toc41672027"/>
      <w:r w:rsidRPr="00060276">
        <w:rPr>
          <w:rFonts w:ascii="Arial" w:hAnsi="Arial" w:cs="Arial"/>
          <w:szCs w:val="24"/>
          <w:u w:val="none"/>
        </w:rPr>
        <w:t>PAZ Y SALVOS Y CERTIFICACIONES</w:t>
      </w:r>
      <w:bookmarkEnd w:id="78"/>
      <w:bookmarkEnd w:id="79"/>
      <w:bookmarkEnd w:id="80"/>
      <w:bookmarkEnd w:id="81"/>
      <w:bookmarkEnd w:id="82"/>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r w:rsidRPr="00492AE3">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3" w:name="_Toc305584914"/>
      <w:bookmarkStart w:id="84" w:name="_Toc437449242"/>
      <w:bookmarkStart w:id="85" w:name="_Toc438121685"/>
      <w:bookmarkStart w:id="86" w:name="_Toc34388208"/>
      <w:bookmarkStart w:id="87" w:name="_Toc39766997"/>
      <w:bookmarkStart w:id="88" w:name="_Toc41672028"/>
      <w:bookmarkStart w:id="89" w:name="_Hlk34389256"/>
      <w:r w:rsidRPr="002121E7">
        <w:rPr>
          <w:rFonts w:ascii="Arial" w:hAnsi="Arial" w:cs="Arial"/>
          <w:szCs w:val="24"/>
          <w:u w:val="none"/>
        </w:rPr>
        <w:t>CUENTAS AFC</w:t>
      </w:r>
      <w:bookmarkEnd w:id="83"/>
      <w:bookmarkEnd w:id="84"/>
      <w:bookmarkEnd w:id="85"/>
      <w:bookmarkEnd w:id="86"/>
      <w:bookmarkEnd w:id="87"/>
      <w:bookmarkEnd w:id="88"/>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9"/>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90"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90"/>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1" w:name="_Toc305584925"/>
      <w:bookmarkStart w:id="92" w:name="_Toc437449243"/>
      <w:bookmarkStart w:id="93" w:name="_Toc438121686"/>
      <w:bookmarkStart w:id="94" w:name="_Toc34388209"/>
      <w:bookmarkStart w:id="95" w:name="_Toc39766998"/>
      <w:bookmarkStart w:id="96" w:name="_Toc41672029"/>
      <w:r w:rsidRPr="002121E7">
        <w:rPr>
          <w:rFonts w:ascii="Arial" w:hAnsi="Arial" w:cs="Arial"/>
          <w:szCs w:val="24"/>
          <w:u w:val="none"/>
        </w:rPr>
        <w:t>AVALÚO Y ESTUDIO DE TÍTULOS</w:t>
      </w:r>
      <w:bookmarkEnd w:id="91"/>
      <w:bookmarkEnd w:id="92"/>
      <w:bookmarkEnd w:id="93"/>
      <w:bookmarkEnd w:id="94"/>
      <w:bookmarkEnd w:id="95"/>
      <w:bookmarkEnd w:id="96"/>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lastRenderedPageBreak/>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7" w:name="_Toc305584913"/>
      <w:bookmarkStart w:id="98" w:name="_Toc437449244"/>
      <w:bookmarkStart w:id="99" w:name="_Toc438121687"/>
      <w:bookmarkStart w:id="100" w:name="_Toc34388210"/>
      <w:bookmarkStart w:id="101" w:name="_Toc39766999"/>
      <w:bookmarkStart w:id="102" w:name="_Toc41672030"/>
      <w:r w:rsidRPr="002121E7">
        <w:rPr>
          <w:rFonts w:ascii="Arial" w:hAnsi="Arial" w:cs="Arial"/>
          <w:szCs w:val="24"/>
          <w:u w:val="none"/>
        </w:rPr>
        <w:t>VISITAS</w:t>
      </w:r>
      <w:bookmarkEnd w:id="97"/>
      <w:r w:rsidRPr="002121E7">
        <w:rPr>
          <w:rFonts w:ascii="Arial" w:hAnsi="Arial" w:cs="Arial"/>
          <w:szCs w:val="24"/>
          <w:u w:val="none"/>
        </w:rPr>
        <w:t xml:space="preserve"> PARA LOS PRODUCTOS QUE APLIQUEN</w:t>
      </w:r>
      <w:bookmarkEnd w:id="98"/>
      <w:bookmarkEnd w:id="99"/>
      <w:bookmarkEnd w:id="100"/>
      <w:bookmarkEnd w:id="101"/>
      <w:bookmarkEnd w:id="102"/>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3" w:name="_Toc305585089"/>
      <w:bookmarkStart w:id="104" w:name="_Toc437449245"/>
      <w:bookmarkStart w:id="105" w:name="_Toc438121688"/>
      <w:bookmarkStart w:id="106" w:name="_Toc34388211"/>
      <w:bookmarkStart w:id="107" w:name="_Toc39767000"/>
      <w:bookmarkStart w:id="108"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3"/>
      <w:bookmarkEnd w:id="104"/>
      <w:bookmarkEnd w:id="105"/>
      <w:bookmarkEnd w:id="106"/>
      <w:bookmarkEnd w:id="107"/>
      <w:bookmarkEnd w:id="108"/>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 xml:space="preserve">.4.1 Fondo Nacional del Ahorro S.A., podrá exigir el pago de la totalidad de la obligación cuando identifique que la obra no ha sido terminada en su totalidad y </w:t>
      </w:r>
      <w:r w:rsidRPr="009A3EBA">
        <w:rPr>
          <w:b w:val="0"/>
          <w:sz w:val="24"/>
          <w:szCs w:val="24"/>
        </w:rPr>
        <w:lastRenderedPageBreak/>
        <w:t>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9" w:name="_Toc39767001"/>
      <w:bookmarkStart w:id="110" w:name="_Toc39767362"/>
      <w:bookmarkStart w:id="111" w:name="_Toc39767002"/>
      <w:bookmarkStart w:id="112" w:name="_Toc39767363"/>
      <w:bookmarkStart w:id="113" w:name="_Toc39767003"/>
      <w:bookmarkStart w:id="114" w:name="_Toc39767364"/>
      <w:bookmarkStart w:id="115" w:name="_Toc39767004"/>
      <w:bookmarkStart w:id="116" w:name="_Toc39767365"/>
      <w:bookmarkStart w:id="117" w:name="_Toc39767005"/>
      <w:bookmarkStart w:id="118" w:name="_Toc39767366"/>
      <w:bookmarkStart w:id="119" w:name="_Toc39767006"/>
      <w:bookmarkStart w:id="120" w:name="_Toc39767367"/>
      <w:bookmarkStart w:id="121" w:name="_Toc39767007"/>
      <w:bookmarkStart w:id="122" w:name="_Toc39767368"/>
      <w:bookmarkStart w:id="123" w:name="_Toc39767008"/>
      <w:bookmarkStart w:id="124" w:name="_Toc39767369"/>
      <w:bookmarkStart w:id="125" w:name="_Toc39767009"/>
      <w:bookmarkStart w:id="126" w:name="_Toc39767370"/>
      <w:bookmarkStart w:id="127" w:name="_Toc39767010"/>
      <w:bookmarkStart w:id="128" w:name="_Toc39767371"/>
      <w:bookmarkStart w:id="129" w:name="_Toc39767011"/>
      <w:bookmarkStart w:id="130" w:name="_Toc39767372"/>
      <w:bookmarkStart w:id="131" w:name="_Toc39767012"/>
      <w:bookmarkStart w:id="132" w:name="_Toc39767373"/>
      <w:bookmarkStart w:id="133" w:name="_Toc39767013"/>
      <w:bookmarkStart w:id="134" w:name="_Toc39767374"/>
      <w:bookmarkStart w:id="135" w:name="_Toc39767014"/>
      <w:bookmarkStart w:id="136" w:name="_Toc39767375"/>
      <w:bookmarkStart w:id="137" w:name="_Toc39767015"/>
      <w:bookmarkStart w:id="138" w:name="_Toc39767376"/>
      <w:bookmarkStart w:id="139" w:name="_Toc39767016"/>
      <w:bookmarkStart w:id="140" w:name="_Toc39767377"/>
      <w:bookmarkStart w:id="141" w:name="_Toc39767017"/>
      <w:bookmarkStart w:id="142" w:name="_Toc39767378"/>
      <w:bookmarkStart w:id="143" w:name="_Toc39767018"/>
      <w:bookmarkStart w:id="144" w:name="_Toc39767379"/>
      <w:bookmarkStart w:id="145" w:name="_Toc39767019"/>
      <w:bookmarkStart w:id="146" w:name="_Toc39767380"/>
      <w:bookmarkStart w:id="147" w:name="_Toc39767020"/>
      <w:bookmarkStart w:id="148" w:name="_Toc39767381"/>
      <w:bookmarkStart w:id="149" w:name="_Toc39767021"/>
      <w:bookmarkStart w:id="150" w:name="_Toc39767382"/>
      <w:bookmarkStart w:id="151" w:name="_Toc39767022"/>
      <w:bookmarkStart w:id="152" w:name="_Toc39767383"/>
      <w:bookmarkStart w:id="153" w:name="_Toc39767023"/>
      <w:bookmarkStart w:id="154" w:name="_Toc39767384"/>
      <w:bookmarkStart w:id="155" w:name="_Toc39767024"/>
      <w:bookmarkStart w:id="156" w:name="_Toc39767385"/>
      <w:bookmarkStart w:id="157" w:name="_Toc39767025"/>
      <w:bookmarkStart w:id="158" w:name="_Toc39767386"/>
      <w:bookmarkStart w:id="159" w:name="_Toc39767026"/>
      <w:bookmarkStart w:id="160" w:name="_Toc39767387"/>
      <w:bookmarkStart w:id="161" w:name="_Toc39767027"/>
      <w:bookmarkStart w:id="162" w:name="_Toc39767388"/>
      <w:bookmarkStart w:id="163" w:name="_Toc39767028"/>
      <w:bookmarkStart w:id="164" w:name="_Toc39767389"/>
      <w:bookmarkStart w:id="165" w:name="_Toc39767029"/>
      <w:bookmarkStart w:id="166" w:name="_Toc39767390"/>
      <w:bookmarkStart w:id="167" w:name="_Toc39767030"/>
      <w:bookmarkStart w:id="168" w:name="_Toc39767391"/>
      <w:bookmarkStart w:id="169" w:name="_Toc39767031"/>
      <w:bookmarkStart w:id="170" w:name="_Toc39767392"/>
      <w:bookmarkStart w:id="171" w:name="_Toc39767032"/>
      <w:bookmarkStart w:id="172" w:name="_Toc39767393"/>
      <w:bookmarkStart w:id="173" w:name="_Toc39767033"/>
      <w:bookmarkStart w:id="174" w:name="_Toc39767394"/>
      <w:bookmarkStart w:id="175" w:name="_Toc39767050"/>
      <w:bookmarkStart w:id="176" w:name="_Toc39767411"/>
      <w:bookmarkStart w:id="177" w:name="_Toc39767051"/>
      <w:bookmarkStart w:id="178" w:name="_Toc39767412"/>
      <w:bookmarkStart w:id="179" w:name="_Toc39767052"/>
      <w:bookmarkStart w:id="180" w:name="_Toc39767413"/>
      <w:bookmarkStart w:id="181" w:name="_Toc39767053"/>
      <w:bookmarkStart w:id="182" w:name="_Toc39767414"/>
      <w:bookmarkStart w:id="183" w:name="_Toc39767054"/>
      <w:bookmarkStart w:id="184" w:name="_Toc39767415"/>
      <w:bookmarkStart w:id="185" w:name="_Toc39767055"/>
      <w:bookmarkStart w:id="186" w:name="_Toc39767416"/>
      <w:bookmarkStart w:id="187" w:name="_Toc305584887"/>
      <w:bookmarkStart w:id="188" w:name="_Toc438121689"/>
      <w:bookmarkStart w:id="189" w:name="_Toc34388212"/>
      <w:bookmarkStart w:id="190" w:name="_Toc39767056"/>
      <w:bookmarkStart w:id="191" w:name="_Toc41672032"/>
      <w:bookmarkStart w:id="192" w:name="_Hlk3120565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A3EBA">
        <w:rPr>
          <w:rFonts w:cs="Arial"/>
          <w:b/>
          <w:sz w:val="24"/>
          <w:szCs w:val="24"/>
          <w:u w:val="single"/>
        </w:rPr>
        <w:t xml:space="preserve">CREDITO </w:t>
      </w:r>
      <w:bookmarkEnd w:id="187"/>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8"/>
      <w:bookmarkEnd w:id="189"/>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3" w:name="_Toc437449221"/>
      <w:bookmarkStart w:id="194" w:name="_Toc438121674"/>
      <w:bookmarkStart w:id="195" w:name="_Toc34388197"/>
      <w:bookmarkStart w:id="196" w:name="_Toc39766988"/>
      <w:bookmarkStart w:id="197" w:name="_Toc41672033"/>
      <w:bookmarkStart w:id="198" w:name="_Toc305584900"/>
      <w:bookmarkStart w:id="199" w:name="_Toc437449255"/>
      <w:bookmarkStart w:id="200" w:name="_Toc438121692"/>
      <w:bookmarkStart w:id="201" w:name="_Toc34388215"/>
      <w:bookmarkStart w:id="202" w:name="_Toc39767057"/>
      <w:bookmarkEnd w:id="190"/>
      <w:bookmarkEnd w:id="191"/>
      <w:bookmarkEnd w:id="192"/>
      <w:r w:rsidRPr="002121E7">
        <w:rPr>
          <w:rFonts w:ascii="Arial" w:hAnsi="Arial" w:cs="Arial"/>
          <w:szCs w:val="24"/>
          <w:u w:val="none"/>
        </w:rPr>
        <w:t>FINALIDAD</w:t>
      </w:r>
      <w:bookmarkEnd w:id="193"/>
      <w:bookmarkEnd w:id="194"/>
      <w:bookmarkEnd w:id="195"/>
      <w:bookmarkEnd w:id="196"/>
      <w:bookmarkEnd w:id="197"/>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w:t>
      </w:r>
      <w:r w:rsidRPr="009A3EBA">
        <w:rPr>
          <w:rFonts w:ascii="Arial" w:hAnsi="Arial" w:cs="Arial"/>
        </w:rPr>
        <w:lastRenderedPageBreak/>
        <w:t xml:space="preserve">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3" w:name="_Hlk156985461"/>
      <w:bookmarkStart w:id="204"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3"/>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5"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5"/>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4"/>
    <w:p w14:paraId="3A12489F" w14:textId="77777777" w:rsidR="00742556" w:rsidRPr="009A3EBA" w:rsidRDefault="00742556" w:rsidP="00742556">
      <w:pPr>
        <w:pStyle w:val="Ttulo3"/>
        <w:numPr>
          <w:ilvl w:val="2"/>
          <w:numId w:val="4"/>
        </w:numPr>
        <w:ind w:left="0" w:firstLine="0"/>
        <w:rPr>
          <w:szCs w:val="24"/>
        </w:rPr>
      </w:pPr>
      <w:r w:rsidRPr="009A3EBA">
        <w:rPr>
          <w:szCs w:val="24"/>
        </w:rPr>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6" w:name="_Hlk156987571"/>
      <w:bookmarkStart w:id="207"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6"/>
      <w:r w:rsidRPr="009A3EBA">
        <w:rPr>
          <w:rFonts w:ascii="Arial" w:eastAsiaTheme="minorEastAsia" w:hAnsi="Arial" w:cs="Arial"/>
          <w:kern w:val="24"/>
        </w:rPr>
        <w:t xml:space="preserve">. </w:t>
      </w:r>
    </w:p>
    <w:bookmarkEnd w:id="207"/>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8" w:name="_Toc41672034"/>
      <w:r w:rsidRPr="002121E7">
        <w:rPr>
          <w:rFonts w:ascii="Arial" w:hAnsi="Arial" w:cs="Arial"/>
          <w:szCs w:val="24"/>
          <w:u w:val="none"/>
        </w:rPr>
        <w:t>C</w:t>
      </w:r>
      <w:bookmarkEnd w:id="198"/>
      <w:r w:rsidRPr="002121E7">
        <w:rPr>
          <w:rFonts w:ascii="Arial" w:hAnsi="Arial" w:cs="Arial"/>
          <w:szCs w:val="24"/>
          <w:u w:val="none"/>
        </w:rPr>
        <w:t>ONDICIONES GENERALES</w:t>
      </w:r>
      <w:bookmarkEnd w:id="199"/>
      <w:bookmarkEnd w:id="200"/>
      <w:bookmarkEnd w:id="201"/>
      <w:bookmarkEnd w:id="202"/>
      <w:bookmarkEnd w:id="208"/>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lastRenderedPageBreak/>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w:t>
      </w:r>
      <w:r w:rsidRPr="009A3EBA">
        <w:rPr>
          <w:rFonts w:ascii="Arial" w:hAnsi="Arial" w:cs="Arial"/>
          <w:lang w:val="es-ES"/>
        </w:rPr>
        <w:lastRenderedPageBreak/>
        <w:t xml:space="preserve">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9" w:name="_Toc305584902"/>
      <w:bookmarkStart w:id="210" w:name="_Toc437449256"/>
      <w:bookmarkStart w:id="211" w:name="_Toc438121693"/>
      <w:bookmarkStart w:id="212" w:name="_Toc34388216"/>
      <w:bookmarkStart w:id="213" w:name="_Toc39767059"/>
      <w:bookmarkStart w:id="214" w:name="_Toc41672035"/>
      <w:r w:rsidRPr="002121E7">
        <w:rPr>
          <w:rFonts w:ascii="Arial" w:hAnsi="Arial" w:cs="Arial"/>
          <w:szCs w:val="24"/>
          <w:u w:val="none"/>
        </w:rPr>
        <w:t>CONDICIONES PARTICULARES PARA LAS FINALIDADES DE CRÉDITO CONSTRUCCIÓN DE VIVIENDA EN SITIO PROPIO Y MEJORA</w:t>
      </w:r>
      <w:bookmarkEnd w:id="209"/>
      <w:bookmarkEnd w:id="210"/>
      <w:bookmarkEnd w:id="211"/>
      <w:bookmarkEnd w:id="212"/>
      <w:bookmarkEnd w:id="213"/>
      <w:bookmarkEnd w:id="214"/>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5" w:name="_Toc437449258"/>
      <w:r w:rsidRPr="009A3EBA">
        <w:rPr>
          <w:szCs w:val="24"/>
        </w:rPr>
        <w:t>Condiciones para desembolsos</w:t>
      </w:r>
      <w:bookmarkEnd w:id="215"/>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 xml:space="preserve">El plazo máximo para realizar el primer desembolso será de dos (2) </w:t>
      </w:r>
      <w:r w:rsidRPr="009A3EBA">
        <w:rPr>
          <w:rFonts w:ascii="Arial" w:hAnsi="Arial" w:cs="Arial"/>
        </w:rPr>
        <w:lastRenderedPageBreak/>
        <w:t>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6" w:name="_Toc437449260"/>
      <w:bookmarkStart w:id="217" w:name="_Toc438121694"/>
      <w:bookmarkStart w:id="218" w:name="_Toc34388217"/>
      <w:bookmarkStart w:id="219" w:name="_Toc39767060"/>
      <w:bookmarkStart w:id="220" w:name="_Toc41672036"/>
      <w:bookmarkStart w:id="221" w:name="_Toc305584903"/>
      <w:r w:rsidRPr="002121E7">
        <w:rPr>
          <w:rFonts w:ascii="Arial" w:hAnsi="Arial" w:cs="Arial"/>
          <w:szCs w:val="24"/>
          <w:u w:val="none"/>
        </w:rPr>
        <w:t>CONDICIONES PARTICULARES PARA CRÉDITO A COLOMBIANOS RESIDENTES EN EL EXTERIOR.</w:t>
      </w:r>
      <w:bookmarkEnd w:id="216"/>
      <w:bookmarkEnd w:id="217"/>
      <w:bookmarkEnd w:id="218"/>
      <w:bookmarkEnd w:id="219"/>
      <w:bookmarkEnd w:id="220"/>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2" w:name="_Hlk97801409"/>
      <w:r w:rsidRPr="009A3EBA">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Fondo Nacional del </w:t>
      </w:r>
      <w:r w:rsidRPr="009A3EBA">
        <w:rPr>
          <w:b w:val="0"/>
          <w:szCs w:val="24"/>
          <w:lang w:val="es-CO"/>
        </w:rPr>
        <w:lastRenderedPageBreak/>
        <w:t>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2"/>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3" w:name="_Toc437449261"/>
      <w:bookmarkStart w:id="224" w:name="_Hlk155948710"/>
      <w:bookmarkEnd w:id="221"/>
      <w:r w:rsidRPr="009A3EBA">
        <w:rPr>
          <w:szCs w:val="24"/>
        </w:rPr>
        <w:t>Constitución de Apoderado en Colombia para residentes en el exterior</w:t>
      </w:r>
      <w:bookmarkEnd w:id="223"/>
      <w:r w:rsidRPr="009A3EBA">
        <w:rPr>
          <w:szCs w:val="24"/>
        </w:rPr>
        <w:t>:</w:t>
      </w:r>
    </w:p>
    <w:bookmarkEnd w:id="224"/>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5"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5"/>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6" w:name="_Toc437449262"/>
      <w:bookmarkStart w:id="227" w:name="_Toc438121695"/>
      <w:bookmarkStart w:id="228" w:name="_Toc34388218"/>
      <w:bookmarkStart w:id="229" w:name="_Toc39767061"/>
      <w:bookmarkStart w:id="230" w:name="_Toc41672037"/>
      <w:bookmarkStart w:id="231" w:name="_Toc305584907"/>
      <w:r w:rsidRPr="00BC460E">
        <w:rPr>
          <w:rFonts w:ascii="Arial" w:hAnsi="Arial" w:cs="Arial"/>
          <w:szCs w:val="24"/>
          <w:u w:val="none"/>
        </w:rPr>
        <w:t>PARÁMETROS PARA EL ESTUDIO DE LAS CONDICIONES CREDITICIAS DEL AFILIADO(A) POR CESANTIAS Y AVC</w:t>
      </w:r>
      <w:bookmarkEnd w:id="226"/>
      <w:bookmarkEnd w:id="227"/>
      <w:bookmarkEnd w:id="228"/>
      <w:bookmarkEnd w:id="229"/>
      <w:bookmarkEnd w:id="230"/>
      <w:r w:rsidRPr="00BC460E">
        <w:rPr>
          <w:rFonts w:ascii="Arial" w:hAnsi="Arial" w:cs="Arial"/>
          <w:szCs w:val="24"/>
          <w:u w:val="none"/>
        </w:rPr>
        <w:t xml:space="preserve"> </w:t>
      </w:r>
      <w:bookmarkEnd w:id="231"/>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2" w:name="_Toc307341767"/>
      <w:bookmarkStart w:id="233" w:name="_Toc307342156"/>
      <w:bookmarkStart w:id="234" w:name="_Toc307776382"/>
      <w:bookmarkStart w:id="235" w:name="_Toc307776660"/>
      <w:bookmarkStart w:id="236" w:name="_Toc308155836"/>
      <w:bookmarkStart w:id="237" w:name="_Toc308293474"/>
      <w:bookmarkStart w:id="238"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2"/>
      <w:bookmarkEnd w:id="233"/>
      <w:r w:rsidRPr="009A3EBA">
        <w:rPr>
          <w:b w:val="0"/>
          <w:szCs w:val="24"/>
          <w:lang w:val="es-ES"/>
        </w:rPr>
        <w:t xml:space="preserve"> y previsto en el Manual de Gestión de Riesgo de Crédito del Sistema Integral de Administración de Riesgo – SIAR.</w:t>
      </w:r>
      <w:bookmarkEnd w:id="234"/>
      <w:bookmarkEnd w:id="235"/>
      <w:bookmarkEnd w:id="236"/>
      <w:bookmarkEnd w:id="237"/>
      <w:bookmarkEnd w:id="238"/>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9" w:name="_Toc307341768"/>
      <w:bookmarkStart w:id="240" w:name="_Toc307342157"/>
      <w:bookmarkStart w:id="241" w:name="_Toc307776383"/>
      <w:bookmarkStart w:id="242" w:name="_Toc307776661"/>
      <w:bookmarkStart w:id="243" w:name="_Toc308155837"/>
      <w:bookmarkStart w:id="244" w:name="_Toc308293475"/>
      <w:bookmarkStart w:id="245"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9"/>
      <w:bookmarkEnd w:id="240"/>
      <w:bookmarkEnd w:id="241"/>
      <w:bookmarkEnd w:id="242"/>
      <w:bookmarkEnd w:id="243"/>
      <w:bookmarkEnd w:id="244"/>
      <w:bookmarkEnd w:id="245"/>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6" w:name="_Toc307341769"/>
      <w:bookmarkStart w:id="247" w:name="_Toc307342158"/>
      <w:bookmarkStart w:id="248" w:name="_Toc307776384"/>
      <w:bookmarkStart w:id="249" w:name="_Toc307776662"/>
      <w:bookmarkStart w:id="250" w:name="_Toc308155838"/>
      <w:bookmarkStart w:id="251" w:name="_Toc308293476"/>
      <w:bookmarkStart w:id="252"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6"/>
      <w:bookmarkEnd w:id="247"/>
      <w:bookmarkEnd w:id="248"/>
      <w:bookmarkEnd w:id="249"/>
      <w:bookmarkEnd w:id="250"/>
      <w:bookmarkEnd w:id="251"/>
      <w:bookmarkEnd w:id="252"/>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lastRenderedPageBreak/>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3" w:name="_Toc305584908"/>
      <w:bookmarkStart w:id="254" w:name="_Toc437449263"/>
      <w:bookmarkStart w:id="255" w:name="_Toc438121696"/>
      <w:bookmarkStart w:id="256" w:name="_Toc34388219"/>
      <w:bookmarkStart w:id="257" w:name="_Toc39767062"/>
      <w:bookmarkStart w:id="258" w:name="_Toc41672038"/>
      <w:r w:rsidRPr="00BC460E">
        <w:rPr>
          <w:rFonts w:ascii="Arial" w:hAnsi="Arial" w:cs="Arial"/>
          <w:szCs w:val="24"/>
          <w:u w:val="none"/>
        </w:rPr>
        <w:t>PARÁMETROS PARA EL ESTUDIO DE LA CAPACIDAD DE PAGO DEL AFILIADO(A) Y COMPROBACIÓN DE INGRESOS.</w:t>
      </w:r>
      <w:bookmarkEnd w:id="253"/>
      <w:bookmarkEnd w:id="254"/>
      <w:bookmarkEnd w:id="255"/>
      <w:bookmarkEnd w:id="256"/>
      <w:bookmarkEnd w:id="257"/>
      <w:bookmarkEnd w:id="258"/>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9" w:name="_Toc305584909"/>
      <w:bookmarkStart w:id="260" w:name="_Toc437449264"/>
      <w:r w:rsidRPr="009A3EBA">
        <w:rPr>
          <w:szCs w:val="24"/>
        </w:rPr>
        <w:t>Ingresos</w:t>
      </w:r>
      <w:bookmarkEnd w:id="259"/>
      <w:bookmarkEnd w:id="260"/>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1" w:name="_Toc305584910"/>
      <w:bookmarkStart w:id="262" w:name="_Toc437449265"/>
      <w:r w:rsidRPr="009A3EBA">
        <w:rPr>
          <w:szCs w:val="24"/>
        </w:rPr>
        <w:t>Egresos</w:t>
      </w:r>
      <w:bookmarkEnd w:id="261"/>
      <w:bookmarkEnd w:id="262"/>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3" w:name="_Toc305584915"/>
      <w:bookmarkStart w:id="264" w:name="_Toc437449266"/>
      <w:bookmarkStart w:id="265" w:name="_Toc438121697"/>
      <w:bookmarkStart w:id="266" w:name="_Toc34388220"/>
      <w:bookmarkStart w:id="267" w:name="_Toc39767063"/>
      <w:bookmarkStart w:id="268" w:name="_Toc41672039"/>
      <w:r w:rsidRPr="00BC460E">
        <w:rPr>
          <w:rFonts w:ascii="Arial" w:hAnsi="Arial" w:cs="Arial"/>
          <w:szCs w:val="24"/>
          <w:u w:val="none"/>
        </w:rPr>
        <w:lastRenderedPageBreak/>
        <w:t xml:space="preserve">CONDICIONES PARA EL OTORGAMIENTO DE </w:t>
      </w:r>
      <w:bookmarkEnd w:id="263"/>
      <w:bookmarkEnd w:id="264"/>
      <w:bookmarkEnd w:id="265"/>
      <w:r w:rsidRPr="00BC460E">
        <w:rPr>
          <w:rFonts w:ascii="Arial" w:hAnsi="Arial" w:cs="Arial"/>
          <w:szCs w:val="24"/>
          <w:u w:val="none"/>
        </w:rPr>
        <w:t>CRÉDITOS</w:t>
      </w:r>
      <w:bookmarkEnd w:id="266"/>
      <w:bookmarkEnd w:id="267"/>
      <w:bookmarkEnd w:id="268"/>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9" w:name="_Toc305584916"/>
      <w:bookmarkStart w:id="270" w:name="_Toc437449267"/>
      <w:r w:rsidRPr="009A3EBA">
        <w:rPr>
          <w:szCs w:val="24"/>
        </w:rPr>
        <w:t>Condiciones financieras</w:t>
      </w:r>
      <w:bookmarkEnd w:id="269"/>
      <w:bookmarkEnd w:id="270"/>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1" w:name="_Toc305584917"/>
      <w:bookmarkStart w:id="272" w:name="_Toc437449269"/>
      <w:r w:rsidRPr="009A3EBA">
        <w:rPr>
          <w:szCs w:val="24"/>
        </w:rPr>
        <w:t>Monto del Crédito</w:t>
      </w:r>
      <w:bookmarkEnd w:id="271"/>
      <w:bookmarkEnd w:id="272"/>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3" w:name="_Hlk200371848"/>
      <w:r w:rsidRPr="009A3EBA">
        <w:rPr>
          <w:rFonts w:ascii="Arial" w:hAnsi="Arial" w:cs="Arial"/>
        </w:rPr>
        <w:t xml:space="preserve">Mejora de Vivienda sin Constitución de Garantía </w:t>
      </w:r>
      <w:bookmarkEnd w:id="273"/>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4" w:name="_Toc41672040"/>
      <w:bookmarkStart w:id="275" w:name="_Toc305584922"/>
      <w:bookmarkStart w:id="276" w:name="_Toc437449270"/>
      <w:bookmarkStart w:id="277" w:name="_Toc438121698"/>
      <w:bookmarkStart w:id="278" w:name="_Toc34388221"/>
      <w:bookmarkStart w:id="279" w:name="_Toc39767064"/>
      <w:r w:rsidRPr="00BC460E">
        <w:rPr>
          <w:rFonts w:ascii="Arial" w:hAnsi="Arial" w:cs="Arial"/>
          <w:szCs w:val="24"/>
          <w:u w:val="none"/>
        </w:rPr>
        <w:lastRenderedPageBreak/>
        <w:t>AMORTIZACIÓN DE CRÉDITOS HIPOTECARIOS, MEJORA DE VIVIENDA SIN CONSTITUCION DE GARANTIA HIPOTECARIA Y LEASING HABITACIONAL</w:t>
      </w:r>
      <w:bookmarkEnd w:id="274"/>
      <w:r w:rsidRPr="00BC460E">
        <w:rPr>
          <w:rFonts w:ascii="Arial" w:hAnsi="Arial" w:cs="Arial"/>
          <w:szCs w:val="24"/>
          <w:u w:val="none"/>
        </w:rPr>
        <w:t xml:space="preserve"> </w:t>
      </w:r>
      <w:bookmarkEnd w:id="275"/>
      <w:bookmarkEnd w:id="276"/>
      <w:bookmarkEnd w:id="277"/>
      <w:bookmarkEnd w:id="278"/>
      <w:bookmarkEnd w:id="279"/>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w:t>
      </w:r>
      <w:r w:rsidRPr="009A3EBA">
        <w:rPr>
          <w:rFonts w:ascii="Arial" w:hAnsi="Arial" w:cs="Arial"/>
        </w:rPr>
        <w:lastRenderedPageBreak/>
        <w:t>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80" w:name="_Toc39767065"/>
      <w:bookmarkStart w:id="281" w:name="_Toc39767426"/>
      <w:bookmarkStart w:id="282" w:name="_Toc437449271"/>
      <w:bookmarkStart w:id="283" w:name="_Toc438121699"/>
      <w:bookmarkStart w:id="284" w:name="_Toc34388222"/>
      <w:bookmarkStart w:id="285" w:name="_Toc39767066"/>
      <w:bookmarkStart w:id="286" w:name="_Toc41672041"/>
      <w:bookmarkEnd w:id="280"/>
      <w:bookmarkEnd w:id="281"/>
      <w:r w:rsidRPr="00BC460E">
        <w:rPr>
          <w:rFonts w:ascii="Arial" w:hAnsi="Arial" w:cs="Arial"/>
          <w:szCs w:val="24"/>
          <w:u w:val="none"/>
        </w:rPr>
        <w:t>CONDICIONES ESPECIALES PARA SEGUROS DEL PRODUCTO DE CREDITO HIPOTECARIO Y MEJORA DE VIVIENDA SIN CONSTITUCION DE GARANTIA HIPOTECARIA.</w:t>
      </w:r>
      <w:bookmarkEnd w:id="282"/>
      <w:bookmarkEnd w:id="283"/>
      <w:bookmarkEnd w:id="284"/>
      <w:bookmarkEnd w:id="285"/>
      <w:bookmarkEnd w:id="286"/>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7" w:name="_Toc305584932"/>
      <w:bookmarkStart w:id="288"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9" w:name="_Toc39767067"/>
      <w:bookmarkStart w:id="290" w:name="_Toc39767428"/>
      <w:bookmarkStart w:id="291" w:name="_Toc438121700"/>
      <w:bookmarkStart w:id="292" w:name="_Toc34388223"/>
      <w:bookmarkStart w:id="293" w:name="_Toc39767068"/>
      <w:bookmarkStart w:id="294" w:name="_Toc41672042"/>
      <w:bookmarkEnd w:id="289"/>
      <w:bookmarkEnd w:id="290"/>
      <w:r w:rsidRPr="00BC460E">
        <w:rPr>
          <w:rFonts w:ascii="Arial" w:hAnsi="Arial" w:cs="Arial"/>
          <w:szCs w:val="24"/>
          <w:u w:val="none"/>
        </w:rPr>
        <w:t>OTORGAMIENTO DE CRÉDITO</w:t>
      </w:r>
      <w:bookmarkEnd w:id="287"/>
      <w:bookmarkEnd w:id="288"/>
      <w:bookmarkEnd w:id="291"/>
      <w:bookmarkEnd w:id="292"/>
      <w:r w:rsidRPr="00BC460E">
        <w:rPr>
          <w:rFonts w:ascii="Arial" w:hAnsi="Arial" w:cs="Arial"/>
          <w:szCs w:val="24"/>
          <w:u w:val="none"/>
        </w:rPr>
        <w:t xml:space="preserve"> Y LEASING HABITACIONAL.</w:t>
      </w:r>
      <w:bookmarkEnd w:id="293"/>
      <w:bookmarkEnd w:id="294"/>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5"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6" w:name="_Toc39767069"/>
      <w:bookmarkStart w:id="297" w:name="_Toc39767430"/>
      <w:bookmarkStart w:id="298" w:name="_Toc305584933"/>
      <w:bookmarkStart w:id="299" w:name="_Toc437449273"/>
      <w:bookmarkStart w:id="300" w:name="_Toc438121701"/>
      <w:bookmarkStart w:id="301" w:name="_Toc34388224"/>
      <w:bookmarkStart w:id="302" w:name="_Toc39767070"/>
      <w:bookmarkStart w:id="303" w:name="_Toc41672043"/>
      <w:bookmarkEnd w:id="296"/>
      <w:bookmarkEnd w:id="297"/>
      <w:r w:rsidRPr="00BC460E">
        <w:rPr>
          <w:rFonts w:ascii="Arial" w:hAnsi="Arial" w:cs="Arial"/>
          <w:szCs w:val="24"/>
          <w:u w:val="none"/>
        </w:rPr>
        <w:t>OFERTA DE CRÉDITO Y LEASING HABITACIONAL.</w:t>
      </w:r>
      <w:bookmarkEnd w:id="298"/>
      <w:bookmarkEnd w:id="299"/>
      <w:bookmarkEnd w:id="300"/>
      <w:bookmarkEnd w:id="301"/>
      <w:bookmarkEnd w:id="302"/>
      <w:bookmarkEnd w:id="303"/>
    </w:p>
    <w:bookmarkEnd w:id="295"/>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4" w:name="_Hlk198561304"/>
      <w:r w:rsidRPr="009A3EBA">
        <w:rPr>
          <w:rFonts w:ascii="Arial" w:hAnsi="Arial" w:cs="Arial"/>
        </w:rPr>
        <w:t>doce (12) meses contados a partir de la fecha de la aprobación de la misma</w:t>
      </w:r>
      <w:bookmarkEnd w:id="304"/>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5"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6" w:name="_Toc305584934"/>
      <w:bookmarkStart w:id="307" w:name="_Toc437449274"/>
      <w:bookmarkStart w:id="308" w:name="_Toc438121702"/>
      <w:bookmarkStart w:id="309" w:name="_Toc34388225"/>
      <w:bookmarkStart w:id="310" w:name="_Toc39767071"/>
      <w:bookmarkStart w:id="311" w:name="_Toc41672044"/>
      <w:r w:rsidRPr="00BC460E">
        <w:rPr>
          <w:rFonts w:ascii="Arial" w:hAnsi="Arial" w:cs="Arial"/>
          <w:szCs w:val="24"/>
          <w:u w:val="none"/>
        </w:rPr>
        <w:t>ACEPTACIÓN DE LA OFERTA POR EL AFILIADO</w:t>
      </w:r>
      <w:bookmarkEnd w:id="306"/>
      <w:bookmarkEnd w:id="307"/>
      <w:bookmarkEnd w:id="308"/>
      <w:bookmarkEnd w:id="309"/>
      <w:bookmarkEnd w:id="310"/>
      <w:bookmarkEnd w:id="311"/>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2" w:name="_Hlk198561680"/>
      <w:bookmarkEnd w:id="305"/>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2"/>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lastRenderedPageBreak/>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3" w:name="_Toc39767072"/>
      <w:bookmarkStart w:id="314" w:name="_Toc41672045"/>
      <w:r w:rsidRPr="00BC460E">
        <w:rPr>
          <w:rFonts w:ascii="Arial" w:hAnsi="Arial" w:cs="Arial"/>
          <w:szCs w:val="24"/>
          <w:u w:val="none"/>
        </w:rPr>
        <w:t>AVALÚOS</w:t>
      </w:r>
      <w:bookmarkEnd w:id="313"/>
      <w:bookmarkEnd w:id="314"/>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BC460E">
        <w:rPr>
          <w:rFonts w:ascii="Arial" w:hAnsi="Arial" w:cs="Arial"/>
          <w:szCs w:val="24"/>
          <w:u w:val="none"/>
        </w:rPr>
        <w:t>DOCUMENTOS Y GARANTÍAS</w:t>
      </w:r>
      <w:bookmarkStart w:id="327" w:name="_Hlk200721903"/>
      <w:bookmarkEnd w:id="321"/>
      <w:bookmarkEnd w:id="322"/>
      <w:bookmarkEnd w:id="323"/>
      <w:bookmarkEnd w:id="324"/>
      <w:bookmarkEnd w:id="325"/>
      <w:bookmarkEnd w:id="326"/>
      <w:r w:rsidR="00E76B0B" w:rsidRPr="00BC460E">
        <w:rPr>
          <w:rFonts w:ascii="Arial" w:hAnsi="Arial" w:cs="Arial"/>
          <w:szCs w:val="24"/>
          <w:u w:val="none"/>
        </w:rPr>
        <w:t xml:space="preserve"> PARA CREDITOS HIPOTECARIOS</w:t>
      </w:r>
      <w:bookmarkEnd w:id="327"/>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 xml:space="preserve">Todos los créditos hipotecarios y leasing habitacional otorgados por el Fondo Nacional del Ahorro S.A., deberán constar en pagaré en blanco con su correspondiente carta de instrucciones otorgado por el afiliado(a) y el deudor </w:t>
      </w:r>
      <w:r w:rsidRPr="009A3EBA">
        <w:rPr>
          <w:rFonts w:ascii="Arial" w:hAnsi="Arial" w:cs="Arial"/>
        </w:rPr>
        <w:lastRenderedPageBreak/>
        <w:t>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6C9DC31" w14:textId="77777777" w:rsidR="002263CE" w:rsidRPr="00BC460E" w:rsidRDefault="002263CE"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8" w:name="_Toc305584939"/>
      <w:bookmarkStart w:id="329" w:name="_Toc437449278"/>
      <w:bookmarkStart w:id="330" w:name="_Toc438121706"/>
      <w:bookmarkStart w:id="331" w:name="_Toc34388229"/>
      <w:bookmarkStart w:id="332" w:name="_Toc39767077"/>
      <w:bookmarkStart w:id="333" w:name="_Toc41672047"/>
      <w:r w:rsidRPr="00BC460E">
        <w:rPr>
          <w:rFonts w:ascii="Arial" w:hAnsi="Arial" w:cs="Arial"/>
          <w:szCs w:val="24"/>
          <w:u w:val="none"/>
        </w:rPr>
        <w:t>CONSTITUCIÓN DE GARANTÍAS</w:t>
      </w:r>
      <w:bookmarkEnd w:id="328"/>
      <w:bookmarkEnd w:id="329"/>
      <w:bookmarkEnd w:id="330"/>
      <w:bookmarkEnd w:id="331"/>
      <w:bookmarkEnd w:id="332"/>
      <w:bookmarkEnd w:id="333"/>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4" w:name="_Toc39767078"/>
      <w:bookmarkStart w:id="335" w:name="_Toc41672048"/>
      <w:r w:rsidRPr="00BC460E">
        <w:rPr>
          <w:rFonts w:ascii="Arial" w:hAnsi="Arial" w:cs="Arial"/>
          <w:szCs w:val="24"/>
          <w:u w:val="none"/>
        </w:rPr>
        <w:t>PARÁMETROS PARA LA APLICACIÓN DE LAS CESANTÍAS</w:t>
      </w:r>
      <w:bookmarkEnd w:id="334"/>
      <w:bookmarkEnd w:id="335"/>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Pagadas por el Fondo Nacional del Ahorro S.A.,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6" w:name="_Toc39767079"/>
      <w:bookmarkStart w:id="337" w:name="_Toc41672049"/>
      <w:r w:rsidRPr="00BC460E">
        <w:rPr>
          <w:rFonts w:ascii="Arial" w:hAnsi="Arial" w:cs="Arial"/>
          <w:szCs w:val="24"/>
          <w:u w:val="none"/>
        </w:rPr>
        <w:t>DESEMBOLSOS PARCIALES</w:t>
      </w:r>
      <w:bookmarkEnd w:id="336"/>
      <w:bookmarkEnd w:id="337"/>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8" w:name="_Toc39767058"/>
      <w:bookmarkStart w:id="339" w:name="_Toc41672050"/>
      <w:r w:rsidRPr="00BC460E">
        <w:rPr>
          <w:rFonts w:ascii="Arial" w:hAnsi="Arial" w:cs="Arial"/>
          <w:szCs w:val="24"/>
          <w:u w:val="none"/>
        </w:rPr>
        <w:t>INFORMACIÓN A LOS DEUDORES HIPOTECARIO, MEJORA DE VIVIENDA SIN CONSTITUCIÓN GARANTIA HIPOTECARIA Y LOCATARIOS.</w:t>
      </w:r>
      <w:bookmarkEnd w:id="338"/>
      <w:bookmarkEnd w:id="339"/>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BC460E">
        <w:rPr>
          <w:rFonts w:ascii="Arial" w:hAnsi="Arial" w:cs="Arial"/>
          <w:szCs w:val="24"/>
          <w:u w:val="none"/>
        </w:rPr>
        <w:t>ALTERNATIVAS PARA LOS USUARIOS DE CRÉDITO</w:t>
      </w:r>
      <w:bookmarkEnd w:id="340"/>
      <w:bookmarkEnd w:id="341"/>
      <w:bookmarkEnd w:id="342"/>
      <w:bookmarkEnd w:id="343"/>
      <w:bookmarkEnd w:id="344"/>
      <w:bookmarkEnd w:id="345"/>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6" w:name="_Toc305584943"/>
      <w:bookmarkStart w:id="347" w:name="_Toc437449282"/>
      <w:r w:rsidRPr="009A3EBA">
        <w:rPr>
          <w:szCs w:val="24"/>
        </w:rPr>
        <w:t>Sustitución del bien dado en garantía</w:t>
      </w:r>
      <w:bookmarkEnd w:id="346"/>
      <w:bookmarkEnd w:id="347"/>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30D126B3" w14:textId="0B02339A" w:rsidR="00F016E2" w:rsidRDefault="00742556" w:rsidP="00716266">
      <w:pPr>
        <w:pStyle w:val="Ttulo4"/>
        <w:numPr>
          <w:ilvl w:val="3"/>
          <w:numId w:val="4"/>
        </w:numPr>
        <w:tabs>
          <w:tab w:val="left" w:pos="993"/>
        </w:tabs>
        <w:ind w:left="0" w:firstLine="0"/>
        <w:rPr>
          <w:b w:val="0"/>
          <w:color w:val="0070C0"/>
          <w:sz w:val="24"/>
          <w:szCs w:val="24"/>
          <w:lang w:val="es-ES"/>
        </w:rPr>
      </w:pPr>
      <w:r w:rsidRPr="00650F60">
        <w:rPr>
          <w:b w:val="0"/>
          <w:sz w:val="24"/>
          <w:szCs w:val="24"/>
          <w:lang w:val="es-ES"/>
        </w:rPr>
        <w:t>El bien inmueble con el que se pretende sustituir la garantía hipotecaria, deberá ser de propiedad de</w:t>
      </w:r>
      <w:r w:rsidR="00650F60" w:rsidRPr="00650F60">
        <w:rPr>
          <w:sz w:val="24"/>
          <w:szCs w:val="24"/>
          <w:lang w:val="es-ES"/>
        </w:rPr>
        <w:t>l</w:t>
      </w:r>
      <w:r w:rsidR="00F016E2" w:rsidRPr="00650F60">
        <w:rPr>
          <w:b w:val="0"/>
          <w:sz w:val="24"/>
          <w:szCs w:val="24"/>
          <w:lang w:val="es-ES"/>
        </w:rPr>
        <w:t xml:space="preserve"> a</w:t>
      </w:r>
      <w:r w:rsidRPr="00650F60">
        <w:rPr>
          <w:b w:val="0"/>
          <w:sz w:val="24"/>
          <w:szCs w:val="24"/>
          <w:lang w:val="es-ES"/>
        </w:rPr>
        <w:t>filiado(a)</w:t>
      </w:r>
      <w:r w:rsidR="00650F60" w:rsidRPr="00650F60">
        <w:rPr>
          <w:sz w:val="24"/>
          <w:szCs w:val="24"/>
          <w:lang w:val="es-ES"/>
        </w:rPr>
        <w:t xml:space="preserve">, </w:t>
      </w:r>
      <w:r w:rsidR="00650F60" w:rsidRPr="00650F60">
        <w:rPr>
          <w:b w:val="0"/>
          <w:bCs/>
          <w:sz w:val="24"/>
          <w:szCs w:val="24"/>
          <w:lang w:val="es-ES"/>
        </w:rPr>
        <w:t>e</w:t>
      </w:r>
      <w:r w:rsidRPr="00650F60">
        <w:rPr>
          <w:b w:val="0"/>
          <w:sz w:val="24"/>
          <w:szCs w:val="24"/>
          <w:lang w:val="es-ES"/>
        </w:rPr>
        <w:t>l afiliado(a) y su deudor solidario no afiliado(a)</w:t>
      </w:r>
      <w:r w:rsidR="00650F60" w:rsidRPr="00650F60">
        <w:rPr>
          <w:sz w:val="24"/>
          <w:szCs w:val="24"/>
          <w:lang w:val="es-ES"/>
        </w:rPr>
        <w:t xml:space="preserve">, </w:t>
      </w:r>
      <w:r w:rsidR="00650F60" w:rsidRPr="00650F60">
        <w:rPr>
          <w:rFonts w:eastAsiaTheme="minorEastAsia"/>
          <w:b w:val="0"/>
          <w:color w:val="0070C0"/>
          <w:sz w:val="24"/>
          <w:szCs w:val="24"/>
          <w:lang w:val="es-CO"/>
        </w:rPr>
        <w:t>o el afiliado y uno cualquiera de los miembros del hogar</w:t>
      </w:r>
      <w:r w:rsidR="00650F60" w:rsidRPr="00650F60">
        <w:rPr>
          <w:rFonts w:eastAsiaTheme="minorEastAsia"/>
          <w:b w:val="0"/>
          <w:sz w:val="24"/>
          <w:szCs w:val="24"/>
          <w:lang w:val="es-CO"/>
        </w:rPr>
        <w:t>.</w:t>
      </w:r>
      <w:r w:rsidR="00650F60" w:rsidRPr="00650F60">
        <w:rPr>
          <w:sz w:val="24"/>
          <w:szCs w:val="24"/>
          <w:lang w:val="es-ES"/>
        </w:rPr>
        <w:t xml:space="preserve"> </w:t>
      </w:r>
      <w:r w:rsidRPr="00650F60">
        <w:rPr>
          <w:b w:val="0"/>
          <w:sz w:val="24"/>
          <w:szCs w:val="24"/>
          <w:lang w:val="es-ES"/>
        </w:rPr>
        <w:t>En ningún caso, la relación saldo de la deuda / valor de la garantía (LTV) podrá ser superior al 70%, se deberá contar con estudio de títulos favorable y avalúo de inmueble sin salvedades por parte de uno de los valuadores autorizados por el Fondo Nacional del Ahorro S.A</w:t>
      </w:r>
      <w:r w:rsidRPr="00650F60">
        <w:rPr>
          <w:b w:val="0"/>
          <w:color w:val="0070C0"/>
          <w:sz w:val="24"/>
          <w:szCs w:val="24"/>
          <w:lang w:val="es-ES"/>
        </w:rPr>
        <w:t>.</w:t>
      </w:r>
      <w:r w:rsidR="00F016E2" w:rsidRPr="00650F60">
        <w:rPr>
          <w:b w:val="0"/>
          <w:color w:val="0070C0"/>
          <w:sz w:val="24"/>
          <w:szCs w:val="24"/>
          <w:lang w:val="es-ES"/>
        </w:rPr>
        <w:t xml:space="preserve"> </w:t>
      </w:r>
    </w:p>
    <w:p w14:paraId="169A4755" w14:textId="77777777" w:rsidR="00650F60" w:rsidRPr="00650F60" w:rsidRDefault="00650F60" w:rsidP="00650F60">
      <w:pPr>
        <w:rPr>
          <w:lang w:val="es-ES"/>
        </w:rPr>
      </w:pPr>
    </w:p>
    <w:p w14:paraId="594BBE74" w14:textId="086ED69D" w:rsidR="00F016E2" w:rsidRPr="00F016E2" w:rsidRDefault="001F4509" w:rsidP="00F016E2">
      <w:pPr>
        <w:pStyle w:val="Ttulo4"/>
        <w:numPr>
          <w:ilvl w:val="0"/>
          <w:numId w:val="0"/>
        </w:numPr>
        <w:tabs>
          <w:tab w:val="left" w:pos="993"/>
        </w:tabs>
        <w:rPr>
          <w:b w:val="0"/>
          <w:color w:val="0070C0"/>
          <w:sz w:val="24"/>
          <w:szCs w:val="24"/>
          <w:lang w:val="es-ES"/>
        </w:rPr>
      </w:pPr>
      <w:r w:rsidRPr="001F4509">
        <w:rPr>
          <w:bCs/>
          <w:color w:val="0070C0"/>
          <w:sz w:val="24"/>
          <w:szCs w:val="24"/>
          <w:lang w:val="es-ES"/>
        </w:rPr>
        <w:t>Parágrafo:</w:t>
      </w:r>
      <w:r>
        <w:rPr>
          <w:b w:val="0"/>
          <w:color w:val="0070C0"/>
          <w:sz w:val="24"/>
          <w:szCs w:val="24"/>
          <w:lang w:val="es-ES"/>
        </w:rPr>
        <w:t xml:space="preserve"> </w:t>
      </w:r>
      <w:r w:rsidR="00F016E2" w:rsidRPr="00F016E2">
        <w:rPr>
          <w:b w:val="0"/>
          <w:color w:val="0070C0"/>
          <w:sz w:val="24"/>
          <w:szCs w:val="24"/>
          <w:lang w:val="es-ES"/>
        </w:rPr>
        <w:t>Cuando la sustitución de la garantía recaiga sobre un bien inmueble en el que intervenga una constructora, podrán celebrarse los actos jurídicos de permuta entre el inmueble inicial y el nuevo, de manera simultánea con la sustitución, dentro del mismo instrumento público. En todo caso, la liberación del gravamen hipotecario a favor del Fondo Nacional del Ahorro S.A., sobre el inmueble originalmente hipotecado solo procederá una vez se haya efectuado la inscripción de la nueva garantía.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8" w:name="_Hlk187753623"/>
      <w:r w:rsidRPr="009A3EBA">
        <w:rPr>
          <w:rFonts w:ascii="Arial" w:eastAsia="Arial" w:hAnsi="Arial" w:cs="Arial"/>
          <w:lang w:val="es-ES"/>
        </w:rPr>
        <w:t>Fondo Nacional del Ahorro S.A.,</w:t>
      </w:r>
      <w:bookmarkEnd w:id="348"/>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lastRenderedPageBreak/>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8D434D3" w:rsidR="00742556" w:rsidRPr="009A3EBA" w:rsidRDefault="00742556" w:rsidP="00BE6869">
      <w:pPr>
        <w:tabs>
          <w:tab w:val="center" w:pos="4348"/>
        </w:tabs>
        <w:jc w:val="both"/>
        <w:rPr>
          <w:rFonts w:ascii="Arial" w:hAnsi="Arial" w:cs="Arial"/>
          <w:b/>
        </w:rPr>
      </w:pPr>
      <w:r w:rsidRPr="009A3EBA">
        <w:rPr>
          <w:rFonts w:ascii="Arial" w:hAnsi="Arial" w:cs="Arial"/>
          <w:b/>
        </w:rPr>
        <w:t>2.19.2.2.2.  Definiciones</w:t>
      </w:r>
      <w:r w:rsidR="00BE6869">
        <w:rPr>
          <w:rFonts w:ascii="Arial" w:hAnsi="Arial" w:cs="Arial"/>
          <w:b/>
        </w:rPr>
        <w:tab/>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lastRenderedPageBreak/>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w:t>
      </w:r>
      <w:r w:rsidRPr="009A3EBA">
        <w:rPr>
          <w:rFonts w:ascii="Arial" w:hAnsi="Arial" w:cs="Arial"/>
        </w:rPr>
        <w:lastRenderedPageBreak/>
        <w:t xml:space="preserve">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9" w:name="_Toc305584945"/>
      <w:bookmarkStart w:id="350" w:name="_Toc437449284"/>
      <w:bookmarkStart w:id="351" w:name="_Toc438121710"/>
      <w:bookmarkStart w:id="352" w:name="_Toc34388233"/>
      <w:bookmarkStart w:id="353" w:name="_Toc39767081"/>
      <w:bookmarkStart w:id="354" w:name="_Toc41672052"/>
      <w:r w:rsidRPr="00BC460E">
        <w:rPr>
          <w:rFonts w:ascii="Arial" w:hAnsi="Arial" w:cs="Arial"/>
          <w:szCs w:val="24"/>
          <w:u w:val="none"/>
        </w:rPr>
        <w:t>GASTOS DE CANCELACIÓN DE HIPOTECA - COBRO JUDICIAL</w:t>
      </w:r>
      <w:bookmarkEnd w:id="349"/>
      <w:bookmarkEnd w:id="350"/>
      <w:bookmarkEnd w:id="351"/>
      <w:bookmarkEnd w:id="352"/>
      <w:r w:rsidRPr="00BC460E">
        <w:rPr>
          <w:rFonts w:ascii="Arial" w:hAnsi="Arial" w:cs="Arial"/>
          <w:szCs w:val="24"/>
          <w:u w:val="none"/>
        </w:rPr>
        <w:t xml:space="preserve"> – TERMINACION CONTRATO LEASING – RESTITUCIÓN.</w:t>
      </w:r>
      <w:bookmarkEnd w:id="353"/>
      <w:bookmarkEnd w:id="354"/>
    </w:p>
    <w:p w14:paraId="53A18F4A" w14:textId="77777777" w:rsidR="00BC460E" w:rsidRPr="00BC460E" w:rsidRDefault="00BC460E" w:rsidP="00BC460E">
      <w:pPr>
        <w:rPr>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5" w:name="_Toc305584947"/>
      <w:bookmarkStart w:id="356" w:name="_Toc437449285"/>
      <w:bookmarkStart w:id="357" w:name="_Toc438121711"/>
      <w:bookmarkStart w:id="358" w:name="_Toc34388234"/>
      <w:bookmarkStart w:id="359" w:name="_Toc39767082"/>
      <w:bookmarkStart w:id="360" w:name="_Toc41672053"/>
      <w:r w:rsidRPr="00BC460E">
        <w:rPr>
          <w:rFonts w:ascii="Arial" w:hAnsi="Arial" w:cs="Arial"/>
          <w:szCs w:val="24"/>
          <w:u w:val="none"/>
        </w:rPr>
        <w:t>PERSECUCIÓN JUDICIAL DE LA GARANTÍA</w:t>
      </w:r>
      <w:bookmarkEnd w:id="355"/>
      <w:bookmarkEnd w:id="356"/>
      <w:bookmarkEnd w:id="357"/>
      <w:bookmarkEnd w:id="358"/>
      <w:bookmarkEnd w:id="359"/>
      <w:bookmarkEnd w:id="360"/>
    </w:p>
    <w:p w14:paraId="1377D520" w14:textId="77777777" w:rsidR="00742556" w:rsidRPr="009A3EBA" w:rsidRDefault="00742556" w:rsidP="00742556">
      <w:pPr>
        <w:rPr>
          <w:lang w:val="es-MX"/>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lastRenderedPageBreak/>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lastRenderedPageBreak/>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lastRenderedPageBreak/>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conjuntamente con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1B614E54">
        <w:rPr>
          <w:rFonts w:cs="Arial"/>
          <w:b/>
          <w:bCs/>
          <w:sz w:val="24"/>
          <w:szCs w:val="24"/>
          <w:u w:val="single"/>
        </w:rPr>
        <w:t xml:space="preserve">CONDICIONES ESPECIALES DE LEASING </w:t>
      </w:r>
      <w:bookmarkEnd w:id="361"/>
      <w:r w:rsidRPr="1B614E54">
        <w:rPr>
          <w:rFonts w:cs="Arial"/>
          <w:b/>
          <w:bCs/>
          <w:sz w:val="24"/>
          <w:szCs w:val="24"/>
          <w:u w:val="single"/>
        </w:rPr>
        <w:t>HABITACIONAL</w:t>
      </w:r>
      <w:bookmarkEnd w:id="362"/>
      <w:bookmarkEnd w:id="363"/>
      <w:bookmarkEnd w:id="364"/>
      <w:bookmarkEnd w:id="365"/>
      <w:bookmarkEnd w:id="366"/>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7" w:name="_Toc437449288"/>
      <w:bookmarkStart w:id="368" w:name="_Toc438121714"/>
      <w:bookmarkStart w:id="369" w:name="_Toc34388237"/>
      <w:bookmarkStart w:id="370" w:name="_Toc39767084"/>
      <w:bookmarkStart w:id="371" w:name="_Toc41672055"/>
      <w:r w:rsidRPr="00BC460E">
        <w:rPr>
          <w:rFonts w:ascii="Arial" w:hAnsi="Arial" w:cs="Arial"/>
          <w:szCs w:val="24"/>
          <w:u w:val="none"/>
        </w:rPr>
        <w:t>OBJETIVO</w:t>
      </w:r>
      <w:bookmarkEnd w:id="367"/>
      <w:bookmarkEnd w:id="368"/>
      <w:bookmarkEnd w:id="369"/>
      <w:bookmarkEnd w:id="370"/>
      <w:bookmarkEnd w:id="371"/>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2" w:name="_Toc305584984"/>
      <w:bookmarkStart w:id="373" w:name="_Toc437449292"/>
      <w:bookmarkStart w:id="374" w:name="_Toc438121716"/>
      <w:bookmarkStart w:id="375" w:name="_Toc34388239"/>
      <w:bookmarkStart w:id="376" w:name="_Toc39767085"/>
      <w:bookmarkStart w:id="377" w:name="_Toc41672056"/>
      <w:r w:rsidRPr="00BC460E">
        <w:rPr>
          <w:rFonts w:ascii="Arial" w:hAnsi="Arial" w:cs="Arial"/>
          <w:szCs w:val="24"/>
          <w:u w:val="none"/>
        </w:rPr>
        <w:t>CONDICIONES GENERALES</w:t>
      </w:r>
      <w:bookmarkEnd w:id="372"/>
      <w:bookmarkEnd w:id="373"/>
      <w:bookmarkEnd w:id="374"/>
      <w:bookmarkEnd w:id="375"/>
      <w:bookmarkEnd w:id="376"/>
      <w:bookmarkEnd w:id="377"/>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8" w:name="_Hlk74661408"/>
      <w:r w:rsidRPr="00745B7E">
        <w:rPr>
          <w:b w:val="0"/>
        </w:rPr>
        <w:t xml:space="preserve">Solo aplicará subsidio Frech aprobado por el Gobierno Nacional. </w:t>
      </w:r>
    </w:p>
    <w:bookmarkEnd w:id="378"/>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A426E8">
      <w:pPr>
        <w:pStyle w:val="Ttulo3"/>
        <w:numPr>
          <w:ilvl w:val="0"/>
          <w:numId w:val="0"/>
        </w:numPr>
        <w:rPr>
          <w:b w:val="0"/>
        </w:rPr>
      </w:pPr>
      <w:r>
        <w:rPr>
          <w:b w:val="0"/>
        </w:rPr>
        <w:lastRenderedPageBreak/>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bajo ninguna circunstancia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9" w:name="_Toc438121721"/>
      <w:bookmarkStart w:id="380" w:name="_Toc34388244"/>
      <w:bookmarkStart w:id="381" w:name="_Toc39767086"/>
      <w:bookmarkStart w:id="382" w:name="_Toc41672057"/>
      <w:r w:rsidRPr="00BC460E">
        <w:rPr>
          <w:rFonts w:ascii="Arial" w:hAnsi="Arial" w:cs="Arial"/>
          <w:szCs w:val="24"/>
          <w:u w:val="none"/>
        </w:rPr>
        <w:lastRenderedPageBreak/>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9"/>
      <w:bookmarkEnd w:id="380"/>
      <w:bookmarkEnd w:id="381"/>
      <w:bookmarkEnd w:id="382"/>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3" w:name="_Hlk187757260"/>
      <w:r w:rsidR="003D2C2A" w:rsidRPr="003D2C2A">
        <w:rPr>
          <w:rFonts w:ascii="Arial" w:hAnsi="Arial" w:cs="Arial"/>
        </w:rPr>
        <w:t>Fondo Nacional del Ahorro S.A</w:t>
      </w:r>
      <w:bookmarkEnd w:id="383"/>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del mismo,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está exonerado de cualquier responsabilidad o reclamación relacionada con la calidad del inmueble o el estado del mismo.</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4" w:name="_Toc438121726"/>
      <w:bookmarkStart w:id="385" w:name="_Toc34388249"/>
      <w:bookmarkStart w:id="386" w:name="_Toc39767087"/>
      <w:bookmarkStart w:id="387" w:name="_Toc41672058"/>
      <w:r w:rsidRPr="00BC460E">
        <w:rPr>
          <w:rFonts w:ascii="Arial" w:hAnsi="Arial" w:cs="Arial"/>
          <w:szCs w:val="24"/>
          <w:u w:val="none"/>
        </w:rPr>
        <w:t>VALOR DEL INMUEBLE</w:t>
      </w:r>
      <w:bookmarkEnd w:id="384"/>
      <w:bookmarkEnd w:id="385"/>
      <w:bookmarkEnd w:id="386"/>
      <w:bookmarkEnd w:id="387"/>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8" w:name="_Toc39767088"/>
      <w:bookmarkStart w:id="389" w:name="_Toc41672059"/>
      <w:bookmarkStart w:id="390" w:name="_Toc438121727"/>
      <w:bookmarkStart w:id="391" w:name="_Toc34388250"/>
      <w:r w:rsidRPr="00BC460E">
        <w:rPr>
          <w:rFonts w:ascii="Arial" w:hAnsi="Arial" w:cs="Arial"/>
          <w:szCs w:val="24"/>
          <w:u w:val="none"/>
        </w:rPr>
        <w:t>VALOR DEL CONTRATO Y MONTO DEL LEASING HABITACIONAL</w:t>
      </w:r>
      <w:bookmarkEnd w:id="388"/>
      <w:bookmarkEnd w:id="389"/>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90"/>
      <w:bookmarkEnd w:id="391"/>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2" w:name="_Toc39767089"/>
      <w:bookmarkStart w:id="393" w:name="_Toc41672060"/>
      <w:r w:rsidRPr="00BC460E">
        <w:rPr>
          <w:rFonts w:ascii="Arial" w:hAnsi="Arial" w:cs="Arial"/>
          <w:szCs w:val="24"/>
          <w:u w:val="none"/>
        </w:rPr>
        <w:t>CONDICIONES GENERALES DEL CONTRATO</w:t>
      </w:r>
      <w:bookmarkEnd w:id="392"/>
      <w:bookmarkEnd w:id="39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438121733"/>
      <w:bookmarkStart w:id="395" w:name="_Toc34388253"/>
      <w:bookmarkStart w:id="396" w:name="_Toc39767090"/>
      <w:bookmarkStart w:id="397" w:name="_Toc41672061"/>
      <w:r w:rsidRPr="00BC460E">
        <w:rPr>
          <w:rFonts w:ascii="Arial" w:hAnsi="Arial" w:cs="Arial"/>
          <w:szCs w:val="24"/>
          <w:u w:val="none"/>
        </w:rPr>
        <w:t xml:space="preserve">OBLIGACIONES, PROHIBICIONES Y DERECHOS </w:t>
      </w:r>
      <w:bookmarkEnd w:id="394"/>
      <w:bookmarkEnd w:id="395"/>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6"/>
      <w:bookmarkEnd w:id="397"/>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w:t>
      </w:r>
      <w:r w:rsidRPr="00745B7E">
        <w:rPr>
          <w:b w:val="0"/>
          <w:sz w:val="24"/>
          <w:szCs w:val="24"/>
          <w:lang w:eastAsia="es-CO"/>
        </w:rPr>
        <w:lastRenderedPageBreak/>
        <w:t xml:space="preserve">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Indicar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del mismo,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8" w:name="_Toc39767091"/>
      <w:bookmarkStart w:id="399" w:name="_Toc41672062"/>
      <w:r w:rsidRPr="00BC460E">
        <w:rPr>
          <w:rFonts w:ascii="Arial" w:hAnsi="Arial" w:cs="Arial"/>
          <w:szCs w:val="24"/>
          <w:u w:val="none"/>
        </w:rPr>
        <w:t>OBLIGACIONES, PROHIBICIONES Y DERECHOS DEL LOCATARIO</w:t>
      </w:r>
      <w:bookmarkEnd w:id="398"/>
      <w:bookmarkEnd w:id="39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lastRenderedPageBreak/>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w:t>
      </w:r>
      <w:r w:rsidRPr="1B614E54">
        <w:rPr>
          <w:b w:val="0"/>
          <w:sz w:val="24"/>
          <w:szCs w:val="24"/>
        </w:rPr>
        <w:lastRenderedPageBreak/>
        <w:t xml:space="preserve">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400" w:name="_Toc39767092"/>
      <w:bookmarkStart w:id="401" w:name="_Toc41672063"/>
      <w:r w:rsidRPr="00BC460E">
        <w:rPr>
          <w:rFonts w:ascii="Arial" w:hAnsi="Arial" w:cs="Arial"/>
          <w:szCs w:val="24"/>
          <w:u w:val="none"/>
        </w:rPr>
        <w:t>SEGUROS, COBERTURAS Y CONDICIONES</w:t>
      </w:r>
      <w:bookmarkEnd w:id="400"/>
      <w:bookmarkEnd w:id="401"/>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w:t>
      </w:r>
      <w:r w:rsidRPr="00745B7E">
        <w:rPr>
          <w:rFonts w:ascii="Arial" w:hAnsi="Arial" w:cs="Arial"/>
        </w:rPr>
        <w:lastRenderedPageBreak/>
        <w:t>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xml:space="preserve">, en la proporción que corresponda a la entidad, para el inicio del contrato de Leasing Habitacional y todos los impuestos, contribuciones, tasas, timbres locales y nacionales y demás expensas que se ocasionen con motivo de la celebración y </w:t>
      </w:r>
      <w:r w:rsidRPr="00745B7E">
        <w:rPr>
          <w:b w:val="0"/>
          <w:sz w:val="24"/>
        </w:rPr>
        <w:lastRenderedPageBreak/>
        <w:t>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2" w:name="_Toc34388254"/>
      <w:bookmarkStart w:id="403" w:name="_Toc39767093"/>
      <w:bookmarkStart w:id="404" w:name="_Toc41672064"/>
      <w:r w:rsidRPr="00BC460E">
        <w:rPr>
          <w:rFonts w:ascii="Arial" w:hAnsi="Arial" w:cs="Arial"/>
          <w:szCs w:val="24"/>
          <w:u w:val="none"/>
        </w:rPr>
        <w:t>CAUSALES GENERALES DE TERMINACIÓN DEL CONTRATO DE LEASING HABITACIONAL</w:t>
      </w:r>
      <w:bookmarkEnd w:id="402"/>
      <w:bookmarkEnd w:id="403"/>
      <w:bookmarkEnd w:id="404"/>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(de acuerdo a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w:t>
      </w:r>
      <w:r w:rsidRPr="00745B7E">
        <w:rPr>
          <w:rFonts w:ascii="Arial" w:eastAsia="Arial" w:hAnsi="Arial" w:cs="Arial"/>
          <w:kern w:val="22"/>
          <w:lang w:eastAsia="es-CO"/>
        </w:rPr>
        <w:lastRenderedPageBreak/>
        <w:t xml:space="preserve">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BC460E">
        <w:rPr>
          <w:rFonts w:ascii="Arial" w:hAnsi="Arial" w:cs="Arial"/>
          <w:szCs w:val="24"/>
        </w:rPr>
        <w:t>OPCIÓN DE ADQUISICIÓN</w:t>
      </w:r>
      <w:bookmarkEnd w:id="405"/>
      <w:bookmarkEnd w:id="406"/>
    </w:p>
    <w:p w14:paraId="6319DD02" w14:textId="77777777" w:rsidR="006A3F0A" w:rsidRPr="00745B7E" w:rsidRDefault="006A3F0A" w:rsidP="006A3F0A">
      <w:pPr>
        <w:jc w:val="both"/>
        <w:rPr>
          <w:rFonts w:ascii="Arial" w:hAnsi="Arial" w:cs="Arial"/>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La suscripción de la escritura pública de adquisición del inmueble por parte de EL (LOS) LOCATARIO (S) 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7" w:name="_Toc34388255"/>
      <w:bookmarkStart w:id="408" w:name="_Toc39767095"/>
      <w:bookmarkStart w:id="409" w:name="_Toc41672066"/>
      <w:r w:rsidRPr="00BC460E">
        <w:rPr>
          <w:rFonts w:ascii="Arial" w:hAnsi="Arial" w:cs="Arial"/>
          <w:szCs w:val="24"/>
        </w:rPr>
        <w:t>CESIÓN DEL CONTRATO</w:t>
      </w:r>
      <w:bookmarkEnd w:id="407"/>
      <w:bookmarkEnd w:id="408"/>
      <w:bookmarkEnd w:id="409"/>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Default="006A3F0A" w:rsidP="006A3F0A">
      <w:pPr>
        <w:jc w:val="both"/>
        <w:rPr>
          <w:rFonts w:ascii="Arial" w:hAnsi="Arial" w:cs="Arial"/>
          <w:lang w:val="es-ES"/>
        </w:rPr>
      </w:pPr>
    </w:p>
    <w:p w14:paraId="26A10D04" w14:textId="77777777" w:rsidR="00A426E8" w:rsidRDefault="00A426E8" w:rsidP="006A3F0A">
      <w:pPr>
        <w:jc w:val="both"/>
        <w:rPr>
          <w:rFonts w:ascii="Arial" w:hAnsi="Arial" w:cs="Arial"/>
          <w:lang w:val="es-ES"/>
        </w:rPr>
      </w:pPr>
    </w:p>
    <w:p w14:paraId="2B4C1F8B" w14:textId="77777777" w:rsidR="00A426E8" w:rsidRPr="00745B7E" w:rsidRDefault="00A426E8"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10" w:name="_Hlk187754736"/>
      <w:r>
        <w:rPr>
          <w:rFonts w:ascii="Arial" w:hAnsi="Arial" w:cs="Arial"/>
        </w:rPr>
        <w:t>El Fondo Nacional del Ahorro S.A.,</w:t>
      </w:r>
      <w:bookmarkEnd w:id="410"/>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1" w:name="_Toc39767096"/>
      <w:bookmarkStart w:id="412" w:name="_Toc41672067"/>
      <w:r w:rsidRPr="00BC460E">
        <w:rPr>
          <w:rFonts w:ascii="Arial" w:hAnsi="Arial" w:cs="Arial"/>
          <w:szCs w:val="24"/>
          <w:u w:val="none"/>
        </w:rPr>
        <w:t>RESTITUCIÓN DE BIEN DADO EN LEASING HABITACIONAL</w:t>
      </w:r>
      <w:bookmarkEnd w:id="411"/>
      <w:bookmarkEnd w:id="412"/>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lastRenderedPageBreak/>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w:t>
      </w:r>
      <w:r w:rsidR="00CE4BAA" w:rsidRPr="00CE4BAA">
        <w:t xml:space="preserve"> Fondo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lastRenderedPageBreak/>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lastRenderedPageBreak/>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3" w:name="_Toc39767097"/>
      <w:bookmarkStart w:id="414" w:name="_Toc41672068"/>
      <w:r w:rsidRPr="00E34A37">
        <w:rPr>
          <w:rFonts w:ascii="Arial" w:hAnsi="Arial" w:cs="Arial"/>
          <w:szCs w:val="24"/>
          <w:u w:val="none"/>
        </w:rPr>
        <w:t>SUBARRIENDO DE BIENES DADOS EN LEASING HABITACIONAL MODALIDAD NO FAMILIAR</w:t>
      </w:r>
      <w:bookmarkEnd w:id="413"/>
      <w:bookmarkEnd w:id="414"/>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5" w:name="_Toc39767098"/>
      <w:bookmarkStart w:id="416" w:name="_Toc41672069"/>
      <w:r w:rsidRPr="00E34A37">
        <w:rPr>
          <w:rFonts w:ascii="Arial" w:hAnsi="Arial" w:cs="Arial"/>
          <w:szCs w:val="24"/>
          <w:u w:val="none"/>
        </w:rPr>
        <w:t>SUSTITUCIÓN DE LOS BIENES DADOS EN LEASING HABITACIONAL</w:t>
      </w:r>
      <w:bookmarkEnd w:id="415"/>
      <w:bookmarkEnd w:id="416"/>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7" w:name="_Toc39767100"/>
      <w:bookmarkStart w:id="418" w:name="_Toc41672070"/>
      <w:r w:rsidRPr="00E34A37">
        <w:rPr>
          <w:rFonts w:ascii="Arial" w:hAnsi="Arial" w:cs="Arial"/>
          <w:szCs w:val="24"/>
          <w:u w:val="none"/>
        </w:rPr>
        <w:t>TITULARIDAD DE SERVICIOS PÚBLICOS</w:t>
      </w:r>
      <w:bookmarkEnd w:id="417"/>
      <w:bookmarkEnd w:id="418"/>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9" w:name="_Toc39767101"/>
      <w:bookmarkStart w:id="420" w:name="_Toc41672071"/>
      <w:r w:rsidRPr="00E34A37">
        <w:rPr>
          <w:rFonts w:ascii="Arial" w:hAnsi="Arial" w:cs="Arial"/>
          <w:szCs w:val="24"/>
          <w:u w:val="none"/>
        </w:rPr>
        <w:t>CARTAS DE COMPROMISO</w:t>
      </w:r>
      <w:bookmarkEnd w:id="419"/>
      <w:bookmarkEnd w:id="420"/>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1" w:name="_Toc39767102"/>
      <w:bookmarkStart w:id="422" w:name="_Toc41672072"/>
      <w:r w:rsidRPr="00E34A37">
        <w:rPr>
          <w:rFonts w:ascii="Arial" w:hAnsi="Arial" w:cs="Arial"/>
          <w:szCs w:val="24"/>
          <w:u w:val="none"/>
        </w:rPr>
        <w:t>CLÁUSULA ACELERATORIA</w:t>
      </w:r>
      <w:bookmarkEnd w:id="421"/>
      <w:bookmarkEnd w:id="422"/>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3"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3"/>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4" w:name="_Toc438121734"/>
      <w:bookmarkStart w:id="425" w:name="_Toc34388256"/>
      <w:bookmarkStart w:id="426" w:name="_Toc39767103"/>
      <w:bookmarkStart w:id="427" w:name="_Toc41672073"/>
      <w:r w:rsidRPr="00E34A37">
        <w:rPr>
          <w:rFonts w:ascii="Arial" w:hAnsi="Arial" w:cs="Arial"/>
          <w:szCs w:val="24"/>
          <w:u w:val="none"/>
        </w:rPr>
        <w:t>REGIMEN DE SANCIONES</w:t>
      </w:r>
      <w:bookmarkEnd w:id="424"/>
      <w:bookmarkEnd w:id="425"/>
      <w:bookmarkEnd w:id="426"/>
      <w:bookmarkEnd w:id="427"/>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w:t>
      </w:r>
      <w:r w:rsidRPr="00745B7E">
        <w:rPr>
          <w:rFonts w:ascii="Arial" w:hAnsi="Arial" w:cs="Arial"/>
        </w:rPr>
        <w:lastRenderedPageBreak/>
        <w:t xml:space="preserve">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8" w:name="_Toc438121741"/>
      <w:bookmarkStart w:id="429" w:name="_Toc34388263"/>
      <w:bookmarkStart w:id="430" w:name="_Toc39767105"/>
      <w:bookmarkStart w:id="431" w:name="_Toc41672074"/>
      <w:r w:rsidRPr="00E34A37">
        <w:rPr>
          <w:rFonts w:ascii="Arial" w:hAnsi="Arial" w:cs="Arial"/>
          <w:szCs w:val="24"/>
          <w:u w:val="none"/>
        </w:rPr>
        <w:t xml:space="preserve">ADMINISTRACIÓN DE LOS </w:t>
      </w:r>
      <w:bookmarkEnd w:id="428"/>
      <w:r w:rsidRPr="00E34A37">
        <w:rPr>
          <w:rFonts w:ascii="Arial" w:hAnsi="Arial" w:cs="Arial"/>
          <w:szCs w:val="24"/>
          <w:u w:val="none"/>
        </w:rPr>
        <w:t xml:space="preserve">BIENES DADOS EN </w:t>
      </w:r>
      <w:bookmarkEnd w:id="429"/>
      <w:bookmarkEnd w:id="430"/>
      <w:bookmarkEnd w:id="431"/>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lastRenderedPageBreak/>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2"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745B7E">
        <w:rPr>
          <w:rFonts w:cs="Arial"/>
          <w:b/>
          <w:sz w:val="24"/>
          <w:szCs w:val="24"/>
          <w:u w:val="single"/>
        </w:rPr>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7" w:name="_Toc34388266"/>
      <w:bookmarkStart w:id="598" w:name="_Toc39767108"/>
      <w:bookmarkStart w:id="599" w:name="_Toc41672076"/>
      <w:r w:rsidRPr="00E34A37">
        <w:rPr>
          <w:rFonts w:ascii="Arial" w:hAnsi="Arial" w:cs="Arial"/>
          <w:szCs w:val="24"/>
          <w:u w:val="none"/>
          <w:lang w:eastAsia="es-CO"/>
        </w:rPr>
        <w:t>OBJETIVO</w:t>
      </w:r>
      <w:bookmarkEnd w:id="597"/>
      <w:bookmarkEnd w:id="598"/>
      <w:bookmarkEnd w:id="599"/>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600" w:name="_Toc437449338"/>
      <w:bookmarkStart w:id="601" w:name="_Toc438121749"/>
      <w:bookmarkStart w:id="602" w:name="_Toc34388267"/>
      <w:bookmarkStart w:id="603" w:name="_Toc39767109"/>
      <w:bookmarkStart w:id="604" w:name="_Toc41672077"/>
      <w:r w:rsidRPr="00E34A37">
        <w:rPr>
          <w:rFonts w:ascii="Arial" w:hAnsi="Arial" w:cs="Arial"/>
          <w:szCs w:val="24"/>
          <w:u w:val="none"/>
        </w:rPr>
        <w:t>FINALIDAD</w:t>
      </w:r>
      <w:bookmarkEnd w:id="600"/>
      <w:bookmarkEnd w:id="601"/>
      <w:bookmarkEnd w:id="602"/>
      <w:bookmarkEnd w:id="603"/>
      <w:bookmarkEnd w:id="604"/>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E34A37">
        <w:rPr>
          <w:rFonts w:ascii="Arial" w:hAnsi="Arial" w:cs="Arial"/>
          <w:szCs w:val="24"/>
          <w:u w:val="none"/>
        </w:rPr>
        <w:t>MODALIDADES DE CRÉDITO:</w:t>
      </w:r>
      <w:bookmarkEnd w:id="607"/>
      <w:bookmarkEnd w:id="608"/>
      <w:bookmarkEnd w:id="609"/>
      <w:bookmarkEnd w:id="610"/>
      <w:bookmarkEnd w:id="611"/>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w:t>
      </w:r>
      <w:r w:rsidR="00334350">
        <w:rPr>
          <w:rFonts w:ascii="Arial" w:hAnsi="Arial" w:cs="Arial"/>
        </w:rPr>
        <w:lastRenderedPageBreak/>
        <w:t>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2"/>
    </w:p>
    <w:p w14:paraId="6F8D79E6" w14:textId="77777777" w:rsidR="0087590F" w:rsidRDefault="0087590F"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3" w:name="_Toc305585060"/>
      <w:bookmarkStart w:id="614" w:name="_Toc437449340"/>
      <w:bookmarkStart w:id="615" w:name="_Toc438121751"/>
      <w:bookmarkStart w:id="616" w:name="_Toc34388269"/>
      <w:bookmarkStart w:id="617" w:name="_Toc39767112"/>
      <w:bookmarkStart w:id="618" w:name="_Toc41672079"/>
      <w:r w:rsidRPr="00E34A37">
        <w:rPr>
          <w:rFonts w:ascii="Arial" w:hAnsi="Arial" w:cs="Arial"/>
          <w:szCs w:val="24"/>
          <w:u w:val="none"/>
        </w:rPr>
        <w:t xml:space="preserve">SISTEMA DE </w:t>
      </w:r>
      <w:bookmarkEnd w:id="613"/>
      <w:r w:rsidRPr="00E34A37">
        <w:rPr>
          <w:rFonts w:ascii="Arial" w:hAnsi="Arial" w:cs="Arial"/>
          <w:szCs w:val="24"/>
          <w:u w:val="none"/>
        </w:rPr>
        <w:t>AMORTIZACIÓN</w:t>
      </w:r>
      <w:bookmarkEnd w:id="614"/>
      <w:bookmarkEnd w:id="615"/>
      <w:bookmarkEnd w:id="616"/>
      <w:bookmarkEnd w:id="617"/>
      <w:bookmarkEnd w:id="618"/>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9" w:name="_Toc437449341"/>
      <w:bookmarkStart w:id="620" w:name="_Toc438121752"/>
      <w:bookmarkStart w:id="621" w:name="_Toc34388270"/>
      <w:bookmarkStart w:id="622" w:name="_Toc39767113"/>
      <w:bookmarkStart w:id="623" w:name="_Toc41672080"/>
      <w:r w:rsidRPr="00E34A37">
        <w:rPr>
          <w:rFonts w:ascii="Arial" w:hAnsi="Arial" w:cs="Arial"/>
          <w:szCs w:val="24"/>
          <w:u w:val="none"/>
        </w:rPr>
        <w:t>PARÁMETROS    PARA   EL   ESTUDIO   DE   LAS    CONDICIONES     CREDITICIAS.</w:t>
      </w:r>
      <w:bookmarkEnd w:id="619"/>
      <w:bookmarkEnd w:id="620"/>
      <w:bookmarkEnd w:id="621"/>
      <w:bookmarkEnd w:id="622"/>
      <w:bookmarkEnd w:id="623"/>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4" w:name="_Toc437449342"/>
      <w:r w:rsidRPr="00BF410E">
        <w:rPr>
          <w:szCs w:val="24"/>
        </w:rPr>
        <w:t>Estudio de las condiciones crediticias del afiliado(a) por Cesantías y AVC</w:t>
      </w:r>
      <w:bookmarkEnd w:id="624"/>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5" w:name="_Toc437449343"/>
      <w:bookmarkStart w:id="626" w:name="_Toc438121753"/>
      <w:bookmarkStart w:id="627" w:name="_Toc34388271"/>
      <w:bookmarkStart w:id="628" w:name="_Toc39767114"/>
      <w:bookmarkStart w:id="629" w:name="_Toc41672081"/>
      <w:r w:rsidRPr="007C46BA">
        <w:rPr>
          <w:rFonts w:ascii="Arial" w:hAnsi="Arial" w:cs="Arial"/>
          <w:szCs w:val="24"/>
          <w:u w:val="none"/>
        </w:rPr>
        <w:t>DOCUMENTACIÓN REQUERIDA PARA LA SOLICITUD DE CRÉDITO.</w:t>
      </w:r>
      <w:bookmarkEnd w:id="625"/>
      <w:bookmarkEnd w:id="626"/>
      <w:bookmarkEnd w:id="627"/>
      <w:bookmarkEnd w:id="628"/>
      <w:bookmarkEnd w:id="629"/>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30" w:name="_Hlk187679769"/>
      <w:r w:rsidRPr="007C46BA">
        <w:rPr>
          <w:rFonts w:ascii="Arial" w:hAnsi="Arial" w:cs="Arial"/>
          <w:lang w:val="es-ES_tradnl"/>
        </w:rPr>
        <w:t>“Documentación Básica Requerida para Presentar Solicitud de Crédito”</w:t>
      </w:r>
      <w:bookmarkEnd w:id="630"/>
      <w:r w:rsidRPr="007C46BA">
        <w:rPr>
          <w:rFonts w:ascii="Arial" w:hAnsi="Arial" w:cs="Arial"/>
          <w:lang w:val="es-ES_tradnl"/>
        </w:rPr>
        <w:t xml:space="preserve"> y los demás que los adicionen, modifiquen o sustituyan. Esta documentación formará parte del expediente del </w:t>
      </w:r>
      <w:r w:rsidRPr="007C46BA">
        <w:rPr>
          <w:rFonts w:ascii="Arial" w:hAnsi="Arial" w:cs="Arial"/>
          <w:lang w:val="es-ES_tradnl"/>
        </w:rPr>
        <w:lastRenderedPageBreak/>
        <w:t>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1" w:name="_Toc305585076"/>
      <w:bookmarkStart w:id="632" w:name="_Toc437449344"/>
      <w:bookmarkStart w:id="633" w:name="_Toc438121754"/>
      <w:bookmarkStart w:id="634" w:name="_Toc34388272"/>
      <w:bookmarkStart w:id="635" w:name="_Toc39767115"/>
      <w:bookmarkStart w:id="636" w:name="_Toc41672082"/>
      <w:r w:rsidRPr="007C46BA">
        <w:rPr>
          <w:rFonts w:ascii="Arial" w:hAnsi="Arial" w:cs="Arial"/>
          <w:szCs w:val="24"/>
          <w:u w:val="none"/>
        </w:rPr>
        <w:t>CAUSALES PARA NO CONTINUAR CON EL TRAMITE DE LA SOLICITUD DE CREDITO.</w:t>
      </w:r>
      <w:bookmarkEnd w:id="631"/>
      <w:bookmarkEnd w:id="632"/>
      <w:bookmarkEnd w:id="633"/>
      <w:bookmarkEnd w:id="634"/>
      <w:bookmarkEnd w:id="635"/>
      <w:bookmarkEnd w:id="636"/>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7" w:name="_Toc437449345"/>
      <w:bookmarkStart w:id="638" w:name="_Toc438121755"/>
      <w:bookmarkStart w:id="639" w:name="_Toc34388273"/>
      <w:bookmarkStart w:id="640" w:name="_Toc39767116"/>
      <w:bookmarkStart w:id="641" w:name="_Toc41672083"/>
      <w:r w:rsidRPr="007C46BA">
        <w:rPr>
          <w:rFonts w:ascii="Arial" w:hAnsi="Arial" w:cs="Arial"/>
          <w:szCs w:val="24"/>
          <w:u w:val="none"/>
        </w:rPr>
        <w:t>APROBACIÓN Y LEGALIZACIÓN DE LOS CRÉDITOS PARA EDUCACIÓN</w:t>
      </w:r>
      <w:bookmarkEnd w:id="637"/>
      <w:bookmarkEnd w:id="638"/>
      <w:bookmarkEnd w:id="639"/>
      <w:bookmarkEnd w:id="640"/>
      <w:bookmarkEnd w:id="641"/>
    </w:p>
    <w:p w14:paraId="78B41C33" w14:textId="77777777" w:rsidR="00C8423D" w:rsidRPr="007C46BA" w:rsidRDefault="00C8423D" w:rsidP="00C8423D">
      <w:pPr>
        <w:rPr>
          <w:lang w:val="es-MX"/>
        </w:rPr>
      </w:pPr>
    </w:p>
    <w:p w14:paraId="6E2B6890" w14:textId="77777777" w:rsidR="0087590F" w:rsidRPr="0094423F" w:rsidRDefault="0087590F" w:rsidP="0087590F">
      <w:pPr>
        <w:pStyle w:val="Ttulo3"/>
        <w:numPr>
          <w:ilvl w:val="2"/>
          <w:numId w:val="7"/>
        </w:numPr>
        <w:ind w:left="709" w:hanging="709"/>
        <w:rPr>
          <w:szCs w:val="24"/>
          <w:lang w:val="es-CO"/>
        </w:rPr>
      </w:pPr>
      <w:bookmarkStart w:id="642" w:name="_Toc437449346"/>
      <w:r w:rsidRPr="0094423F">
        <w:rPr>
          <w:szCs w:val="24"/>
          <w:lang w:val="es-CO"/>
        </w:rPr>
        <w:t>Aprobación</w:t>
      </w:r>
      <w:bookmarkEnd w:id="642"/>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3" w:name="_Toc437449347"/>
      <w:r w:rsidRPr="0094423F">
        <w:rPr>
          <w:szCs w:val="24"/>
        </w:rPr>
        <w:t>Legalización</w:t>
      </w:r>
      <w:bookmarkEnd w:id="643"/>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4" w:name="_Toc305585077"/>
      <w:bookmarkStart w:id="645" w:name="_Toc437449348"/>
      <w:bookmarkStart w:id="646" w:name="_Toc438121756"/>
      <w:bookmarkStart w:id="647" w:name="_Toc34388274"/>
      <w:bookmarkStart w:id="648" w:name="_Toc39767117"/>
      <w:bookmarkStart w:id="649" w:name="_Toc41672084"/>
      <w:r w:rsidRPr="007C46BA">
        <w:rPr>
          <w:rFonts w:ascii="Arial" w:hAnsi="Arial" w:cs="Arial"/>
          <w:szCs w:val="24"/>
          <w:u w:val="none"/>
        </w:rPr>
        <w:t>DESEMBOLSO</w:t>
      </w:r>
      <w:bookmarkEnd w:id="644"/>
      <w:bookmarkEnd w:id="645"/>
      <w:bookmarkEnd w:id="646"/>
      <w:bookmarkEnd w:id="647"/>
      <w:bookmarkEnd w:id="648"/>
      <w:bookmarkEnd w:id="649"/>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50" w:name="_Toc437449349"/>
      <w:r w:rsidRPr="0060014B">
        <w:rPr>
          <w:bCs/>
          <w:szCs w:val="24"/>
        </w:rPr>
        <w:t>Suspensión temporal de los desembolsos.</w:t>
      </w:r>
      <w:bookmarkEnd w:id="650"/>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1" w:name="_Toc437449350"/>
      <w:bookmarkStart w:id="652" w:name="_Toc438121757"/>
      <w:bookmarkStart w:id="653" w:name="_Toc34388275"/>
      <w:bookmarkStart w:id="654" w:name="_Toc39767118"/>
      <w:bookmarkStart w:id="655" w:name="_Toc41672085"/>
      <w:r w:rsidRPr="007C46BA">
        <w:rPr>
          <w:rFonts w:ascii="Arial" w:hAnsi="Arial" w:cs="Arial"/>
          <w:szCs w:val="24"/>
          <w:u w:val="none"/>
        </w:rPr>
        <w:lastRenderedPageBreak/>
        <w:t>CONDICIONES ECONÓMICAS DEL CRÉDITO</w:t>
      </w:r>
      <w:bookmarkEnd w:id="651"/>
      <w:bookmarkEnd w:id="652"/>
      <w:bookmarkEnd w:id="653"/>
      <w:bookmarkEnd w:id="654"/>
      <w:bookmarkEnd w:id="655"/>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6" w:name="_Toc437449351"/>
      <w:r w:rsidRPr="0007686C">
        <w:rPr>
          <w:szCs w:val="24"/>
        </w:rPr>
        <w:t>Cupo de crédito</w:t>
      </w:r>
      <w:r w:rsidRPr="00745B7E">
        <w:rPr>
          <w:szCs w:val="24"/>
        </w:rPr>
        <w:t>:</w:t>
      </w:r>
      <w:bookmarkEnd w:id="656"/>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7" w:name="_Toc437449352"/>
      <w:r w:rsidRPr="00745B7E">
        <w:rPr>
          <w:szCs w:val="24"/>
        </w:rPr>
        <w:t>Monto a desembolsar:</w:t>
      </w:r>
      <w:bookmarkEnd w:id="657"/>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8" w:name="_Toc305585081"/>
      <w:bookmarkStart w:id="659" w:name="_Toc437449353"/>
      <w:bookmarkStart w:id="660" w:name="_Toc438121758"/>
      <w:bookmarkStart w:id="661" w:name="_Toc34388276"/>
      <w:bookmarkStart w:id="662" w:name="_Toc39767119"/>
      <w:bookmarkStart w:id="663" w:name="_Toc41672086"/>
      <w:r w:rsidRPr="007C46BA">
        <w:rPr>
          <w:rFonts w:ascii="Arial" w:hAnsi="Arial" w:cs="Arial"/>
          <w:szCs w:val="24"/>
          <w:u w:val="none"/>
        </w:rPr>
        <w:t>CONDICIONES DE SEGUROS</w:t>
      </w:r>
      <w:bookmarkEnd w:id="658"/>
      <w:r w:rsidRPr="007C46BA">
        <w:rPr>
          <w:rFonts w:ascii="Arial" w:hAnsi="Arial" w:cs="Arial"/>
          <w:szCs w:val="24"/>
          <w:u w:val="none"/>
        </w:rPr>
        <w:t xml:space="preserve"> PARA EL PRODUCTO DE CREDITO EDUCATIVO</w:t>
      </w:r>
      <w:bookmarkEnd w:id="659"/>
      <w:bookmarkEnd w:id="660"/>
      <w:bookmarkEnd w:id="661"/>
      <w:bookmarkEnd w:id="662"/>
      <w:bookmarkEnd w:id="663"/>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4" w:name="_Toc305585086"/>
      <w:bookmarkStart w:id="665" w:name="_Toc437449354"/>
      <w:bookmarkStart w:id="666" w:name="_Toc438121759"/>
      <w:bookmarkStart w:id="667" w:name="_Toc34388277"/>
      <w:bookmarkStart w:id="668" w:name="_Toc39767120"/>
      <w:bookmarkStart w:id="669" w:name="_Toc41672087"/>
      <w:r w:rsidRPr="007C46BA">
        <w:rPr>
          <w:rFonts w:ascii="Arial" w:hAnsi="Arial" w:cs="Arial"/>
          <w:szCs w:val="24"/>
          <w:u w:val="none"/>
        </w:rPr>
        <w:t>DOCUMENTOS Y GARANTIAS DE LOS CREDITOS</w:t>
      </w:r>
      <w:bookmarkEnd w:id="664"/>
      <w:bookmarkEnd w:id="665"/>
      <w:bookmarkEnd w:id="666"/>
      <w:bookmarkEnd w:id="667"/>
      <w:bookmarkEnd w:id="668"/>
      <w:bookmarkEnd w:id="669"/>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70"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70"/>
    <w:p w14:paraId="3CFBC6DF" w14:textId="77777777" w:rsidR="00082690" w:rsidRDefault="00082690" w:rsidP="00082690">
      <w:pPr>
        <w:jc w:val="both"/>
        <w:rPr>
          <w:rFonts w:ascii="Arial" w:hAnsi="Arial" w:cs="Arial"/>
        </w:rPr>
      </w:pPr>
      <w:r w:rsidRPr="00AF11ED">
        <w:rPr>
          <w:rFonts w:ascii="Arial" w:hAnsi="Arial" w:cs="Arial"/>
        </w:rPr>
        <w:lastRenderedPageBreak/>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1"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1"/>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2" w:name="_Toc305585088"/>
      <w:bookmarkStart w:id="673" w:name="_Toc437449356"/>
      <w:bookmarkStart w:id="674" w:name="_Toc34388278"/>
      <w:bookmarkStart w:id="675" w:name="_Toc39767121"/>
      <w:bookmarkStart w:id="676" w:name="_Toc41672088"/>
      <w:bookmarkStart w:id="677" w:name="_Hlk187390159"/>
      <w:r w:rsidRPr="007C46BA">
        <w:rPr>
          <w:rFonts w:ascii="Arial" w:hAnsi="Arial" w:cs="Arial"/>
          <w:szCs w:val="24"/>
          <w:u w:val="none"/>
        </w:rPr>
        <w:t>C</w:t>
      </w:r>
      <w:bookmarkEnd w:id="672"/>
      <w:r w:rsidRPr="007C46BA">
        <w:rPr>
          <w:rFonts w:ascii="Arial" w:hAnsi="Arial" w:cs="Arial"/>
          <w:szCs w:val="24"/>
          <w:u w:val="none"/>
        </w:rPr>
        <w:t>OSTOS</w:t>
      </w:r>
      <w:bookmarkEnd w:id="673"/>
      <w:bookmarkEnd w:id="674"/>
      <w:bookmarkEnd w:id="675"/>
      <w:bookmarkEnd w:id="676"/>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lastRenderedPageBreak/>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BD54B2">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BD54B2" w:rsidRDefault="00EE5D39" w:rsidP="00EE5D39">
      <w:pPr>
        <w:jc w:val="both"/>
        <w:rPr>
          <w:rFonts w:ascii="Arial" w:hAnsi="Arial" w:cs="Arial"/>
        </w:rPr>
      </w:pPr>
    </w:p>
    <w:p w14:paraId="5D717E34" w14:textId="483D05C0"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El </w:t>
      </w:r>
      <w:r w:rsidR="00F055CB" w:rsidRPr="00A426E8">
        <w:rPr>
          <w:rFonts w:ascii="Arial" w:hAnsi="Arial" w:cs="Arial"/>
          <w:color w:val="000000" w:themeColor="text1"/>
        </w:rPr>
        <w:t>Fondo Nacional del Ahorro S.A</w:t>
      </w:r>
      <w:r w:rsidR="009E2CC2" w:rsidRPr="00A426E8">
        <w:rPr>
          <w:rFonts w:ascii="Arial" w:hAnsi="Arial" w:cs="Arial"/>
          <w:color w:val="000000" w:themeColor="text1"/>
        </w:rPr>
        <w:t>., f</w:t>
      </w:r>
      <w:r w:rsidRPr="00A426E8">
        <w:rPr>
          <w:rFonts w:ascii="Arial" w:hAnsi="Arial" w:cs="Arial"/>
          <w:color w:val="000000" w:themeColor="text1"/>
        </w:rPr>
        <w:t>inanciará el desarrollo de proyectos de vivienda a personas jurídicas y/o naturales con establecimiento de comercio,</w:t>
      </w:r>
      <w:r w:rsidR="007F1959" w:rsidRPr="00A426E8">
        <w:rPr>
          <w:rFonts w:ascii="Arial" w:hAnsi="Arial" w:cs="Arial"/>
          <w:color w:val="000000" w:themeColor="text1"/>
        </w:rPr>
        <w:t xml:space="preserve"> o </w:t>
      </w:r>
      <w:r w:rsidR="009641C1" w:rsidRPr="00A426E8">
        <w:rPr>
          <w:rFonts w:ascii="Arial" w:hAnsi="Arial" w:cs="Arial"/>
          <w:color w:val="000000" w:themeColor="text1"/>
        </w:rPr>
        <w:t>P</w:t>
      </w:r>
      <w:r w:rsidR="007F1959" w:rsidRPr="00A426E8">
        <w:rPr>
          <w:rFonts w:ascii="Arial" w:hAnsi="Arial" w:cs="Arial"/>
          <w:color w:val="000000" w:themeColor="text1"/>
        </w:rPr>
        <w:t xml:space="preserve">atrimonios Autónomos </w:t>
      </w:r>
      <w:r w:rsidRPr="00A426E8">
        <w:rPr>
          <w:rFonts w:ascii="Arial" w:hAnsi="Arial" w:cs="Arial"/>
          <w:color w:val="000000" w:themeColor="text1"/>
        </w:rPr>
        <w:t>con la línea de crédito “Constructor Tradicional Vivienda Nueva y Terminación</w:t>
      </w:r>
      <w:r w:rsidR="00737722" w:rsidRPr="00A426E8">
        <w:rPr>
          <w:rFonts w:ascii="Arial" w:hAnsi="Arial" w:cs="Arial"/>
          <w:color w:val="000000" w:themeColor="text1"/>
        </w:rPr>
        <w:t>”</w:t>
      </w:r>
      <w:r w:rsidR="00E2360A" w:rsidRPr="00A426E8">
        <w:rPr>
          <w:rFonts w:ascii="Arial" w:hAnsi="Arial" w:cs="Arial"/>
          <w:color w:val="000000" w:themeColor="text1"/>
        </w:rPr>
        <w:t xml:space="preserve"> </w:t>
      </w:r>
      <w:r w:rsidR="00575682" w:rsidRPr="00A426E8">
        <w:rPr>
          <w:rFonts w:ascii="Arial" w:hAnsi="Arial" w:cs="Arial"/>
          <w:color w:val="000000" w:themeColor="text1"/>
        </w:rPr>
        <w:t xml:space="preserve">dirigido a </w:t>
      </w:r>
      <w:r w:rsidRPr="00A426E8">
        <w:rPr>
          <w:rFonts w:ascii="Arial" w:hAnsi="Arial" w:cs="Arial"/>
          <w:color w:val="000000" w:themeColor="text1"/>
        </w:rPr>
        <w:t>la construcción de vivienda nueva, proyectos de vivienda VIP</w:t>
      </w:r>
      <w:r w:rsidR="00125286" w:rsidRPr="00A426E8">
        <w:rPr>
          <w:rFonts w:ascii="Arial" w:hAnsi="Arial" w:cs="Arial"/>
          <w:color w:val="000000" w:themeColor="text1"/>
        </w:rPr>
        <w:t xml:space="preserve"> y</w:t>
      </w:r>
      <w:r w:rsidRPr="00A426E8">
        <w:rPr>
          <w:rFonts w:ascii="Arial" w:hAnsi="Arial" w:cs="Arial"/>
          <w:color w:val="000000" w:themeColor="text1"/>
        </w:rPr>
        <w:t xml:space="preserve"> VIS en zonas urbanas y rurales del </w:t>
      </w:r>
      <w:r w:rsidR="0015607E" w:rsidRPr="00A426E8">
        <w:rPr>
          <w:rFonts w:ascii="Arial" w:hAnsi="Arial" w:cs="Arial"/>
          <w:color w:val="000000" w:themeColor="text1"/>
        </w:rPr>
        <w:t>T</w:t>
      </w:r>
      <w:r w:rsidRPr="00A426E8">
        <w:rPr>
          <w:rFonts w:ascii="Arial" w:hAnsi="Arial" w:cs="Arial"/>
          <w:color w:val="000000" w:themeColor="text1"/>
        </w:rPr>
        <w:t xml:space="preserve">erritorio </w:t>
      </w:r>
      <w:r w:rsidR="006E1157" w:rsidRPr="00A426E8">
        <w:rPr>
          <w:rFonts w:ascii="Arial" w:hAnsi="Arial" w:cs="Arial"/>
          <w:color w:val="000000" w:themeColor="text1"/>
        </w:rPr>
        <w:t>N</w:t>
      </w:r>
      <w:r w:rsidRPr="00A426E8">
        <w:rPr>
          <w:rFonts w:ascii="Arial" w:hAnsi="Arial" w:cs="Arial"/>
          <w:color w:val="000000" w:themeColor="text1"/>
        </w:rPr>
        <w:t>acional</w:t>
      </w:r>
      <w:r w:rsidR="00E2360A" w:rsidRPr="00A426E8">
        <w:rPr>
          <w:rFonts w:ascii="Arial" w:hAnsi="Arial" w:cs="Arial"/>
          <w:color w:val="000000" w:themeColor="text1"/>
        </w:rPr>
        <w:t>.</w:t>
      </w:r>
    </w:p>
    <w:p w14:paraId="06FCEA05" w14:textId="77777777" w:rsidR="00E46437" w:rsidRPr="00A426E8" w:rsidRDefault="00E46437" w:rsidP="00EE5D39">
      <w:pPr>
        <w:jc w:val="both"/>
        <w:rPr>
          <w:rFonts w:ascii="Arial" w:hAnsi="Arial" w:cs="Arial"/>
          <w:color w:val="000000" w:themeColor="text1"/>
        </w:rPr>
      </w:pPr>
    </w:p>
    <w:p w14:paraId="66038374" w14:textId="66586405"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Esta línea de crédito se caracteriza por ser un préstamo a corto plazo, con desembolsos de forma gradual conforme se </w:t>
      </w:r>
      <w:r w:rsidR="006E1157" w:rsidRPr="00A426E8">
        <w:rPr>
          <w:rFonts w:ascii="Arial" w:hAnsi="Arial" w:cs="Arial"/>
          <w:color w:val="000000" w:themeColor="text1"/>
        </w:rPr>
        <w:t xml:space="preserve">cumple con las </w:t>
      </w:r>
      <w:r w:rsidRPr="00A426E8">
        <w:rPr>
          <w:rFonts w:ascii="Arial" w:hAnsi="Arial" w:cs="Arial"/>
          <w:color w:val="000000" w:themeColor="text1"/>
        </w:rPr>
        <w:t>etapas predefinidas en el proyecto a financiar, sujeta a</w:t>
      </w:r>
      <w:r w:rsidR="000656D5" w:rsidRPr="00A426E8">
        <w:rPr>
          <w:rFonts w:ascii="Arial" w:hAnsi="Arial" w:cs="Arial"/>
          <w:color w:val="000000" w:themeColor="text1"/>
        </w:rPr>
        <w:t xml:space="preserve"> las</w:t>
      </w:r>
      <w:r w:rsidRPr="00A426E8">
        <w:rPr>
          <w:rFonts w:ascii="Arial" w:hAnsi="Arial" w:cs="Arial"/>
          <w:color w:val="000000" w:themeColor="text1"/>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7" w:name="_Toc438121765"/>
      <w:bookmarkStart w:id="748" w:name="_Toc493593114"/>
      <w:bookmarkStart w:id="749" w:name="_Toc4085481"/>
      <w:r w:rsidRPr="007C46BA">
        <w:rPr>
          <w:rFonts w:ascii="Arial" w:hAnsi="Arial" w:cs="Arial"/>
          <w:szCs w:val="24"/>
          <w:u w:val="none"/>
        </w:rPr>
        <w:t xml:space="preserve"> SUJETO DE CRÉDITO </w:t>
      </w:r>
      <w:bookmarkEnd w:id="747"/>
      <w:bookmarkEnd w:id="748"/>
      <w:bookmarkEnd w:id="749"/>
    </w:p>
    <w:p w14:paraId="456BD813" w14:textId="77777777" w:rsidR="00EE36D3" w:rsidRPr="007C46BA" w:rsidRDefault="00EE36D3" w:rsidP="00EE36D3">
      <w:pPr>
        <w:rPr>
          <w:lang w:val="es-MX"/>
        </w:rPr>
      </w:pPr>
    </w:p>
    <w:p w14:paraId="40B51EF1" w14:textId="75EE9053" w:rsidR="007F1959" w:rsidRPr="00A426E8" w:rsidRDefault="00EE36D3" w:rsidP="00EE5D39">
      <w:pPr>
        <w:jc w:val="both"/>
        <w:rPr>
          <w:rFonts w:ascii="Arial" w:hAnsi="Arial" w:cs="Arial"/>
          <w:color w:val="000000" w:themeColor="text1"/>
        </w:rPr>
      </w:pPr>
      <w:r w:rsidRPr="00A426E8">
        <w:rPr>
          <w:rFonts w:ascii="Arial" w:hAnsi="Arial" w:cs="Arial"/>
          <w:color w:val="000000" w:themeColor="text1"/>
        </w:rPr>
        <w:t>Serán sujeto de crédito, l</w:t>
      </w:r>
      <w:r w:rsidR="00EE5D39" w:rsidRPr="00A426E8">
        <w:rPr>
          <w:rFonts w:ascii="Arial" w:hAnsi="Arial" w:cs="Arial"/>
          <w:color w:val="000000" w:themeColor="text1"/>
        </w:rPr>
        <w:t>a</w:t>
      </w:r>
      <w:r w:rsidRPr="00A426E8">
        <w:rPr>
          <w:rFonts w:ascii="Arial" w:hAnsi="Arial" w:cs="Arial"/>
          <w:color w:val="000000" w:themeColor="text1"/>
        </w:rPr>
        <w:t>s</w:t>
      </w:r>
      <w:r w:rsidR="00EE5D39" w:rsidRPr="00A426E8">
        <w:rPr>
          <w:rFonts w:ascii="Arial" w:hAnsi="Arial" w:cs="Arial"/>
          <w:color w:val="000000" w:themeColor="text1"/>
        </w:rPr>
        <w:t xml:space="preserve"> personas jurídicas</w:t>
      </w:r>
      <w:r w:rsidR="00CC3770" w:rsidRPr="00A426E8">
        <w:rPr>
          <w:rFonts w:ascii="Arial" w:hAnsi="Arial" w:cs="Arial"/>
          <w:color w:val="000000" w:themeColor="text1"/>
        </w:rPr>
        <w:t xml:space="preserve">, </w:t>
      </w:r>
      <w:r w:rsidR="00EE5D39" w:rsidRPr="00A426E8">
        <w:rPr>
          <w:rFonts w:ascii="Arial" w:hAnsi="Arial" w:cs="Arial"/>
          <w:color w:val="000000" w:themeColor="text1"/>
        </w:rPr>
        <w:t>naturales con establecimiento de comercio</w:t>
      </w:r>
      <w:r w:rsidR="00E25E35" w:rsidRPr="00A426E8">
        <w:rPr>
          <w:rFonts w:ascii="Arial" w:hAnsi="Arial" w:cs="Arial"/>
          <w:color w:val="000000" w:themeColor="text1"/>
        </w:rPr>
        <w:t>,</w:t>
      </w:r>
      <w:r w:rsidR="00EE5D39" w:rsidRPr="00A426E8">
        <w:rPr>
          <w:rFonts w:ascii="Arial" w:hAnsi="Arial" w:cs="Arial"/>
          <w:color w:val="000000" w:themeColor="text1"/>
        </w:rPr>
        <w:t xml:space="preserve"> que tengan dentro de su objeto la actividad de promoción, venta y construcción de proyectos de vivienda nueva</w:t>
      </w:r>
      <w:r w:rsidR="00CC3770" w:rsidRPr="00A426E8">
        <w:rPr>
          <w:rFonts w:ascii="Arial" w:hAnsi="Arial" w:cs="Arial"/>
          <w:color w:val="000000" w:themeColor="text1"/>
        </w:rPr>
        <w:t xml:space="preserve"> y los </w:t>
      </w:r>
      <w:r w:rsidR="007F1959" w:rsidRPr="00A426E8">
        <w:rPr>
          <w:rFonts w:ascii="Arial" w:hAnsi="Arial" w:cs="Arial"/>
          <w:color w:val="000000" w:themeColor="text1"/>
        </w:rPr>
        <w:t xml:space="preserve">Patrimonios </w:t>
      </w:r>
      <w:r w:rsidR="00CC3770" w:rsidRPr="00A426E8">
        <w:rPr>
          <w:rFonts w:ascii="Arial" w:hAnsi="Arial" w:cs="Arial"/>
          <w:color w:val="000000" w:themeColor="text1"/>
        </w:rPr>
        <w:t>Autónomos que dentro de su finalidad ostenten el rol de promotor del proyecto.</w:t>
      </w:r>
    </w:p>
    <w:p w14:paraId="64B055A1" w14:textId="77777777" w:rsidR="007F1959" w:rsidRPr="00A426E8" w:rsidRDefault="007F1959" w:rsidP="00EE5D39">
      <w:pPr>
        <w:jc w:val="both"/>
        <w:rPr>
          <w:rFonts w:ascii="Arial" w:hAnsi="Arial" w:cs="Arial"/>
          <w:color w:val="000000" w:themeColor="text1"/>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50" w:name="_Toc437449360"/>
      <w:bookmarkStart w:id="751" w:name="_Toc438121766"/>
      <w:bookmarkStart w:id="752" w:name="_Toc493593115"/>
      <w:bookmarkStart w:id="753" w:name="_Toc4085482"/>
      <w:r w:rsidRPr="007C46BA">
        <w:rPr>
          <w:rFonts w:ascii="Arial" w:hAnsi="Arial" w:cs="Arial"/>
          <w:szCs w:val="24"/>
          <w:u w:val="none"/>
        </w:rPr>
        <w:t>FINALIDAD</w:t>
      </w:r>
      <w:bookmarkEnd w:id="750"/>
      <w:bookmarkEnd w:id="751"/>
      <w:bookmarkEnd w:id="752"/>
      <w:bookmarkEnd w:id="753"/>
    </w:p>
    <w:p w14:paraId="0A67E63E" w14:textId="77777777" w:rsidR="00EE5D39" w:rsidRPr="007C46BA" w:rsidRDefault="00EE5D39" w:rsidP="00EE5D39">
      <w:pPr>
        <w:jc w:val="both"/>
        <w:rPr>
          <w:rFonts w:ascii="Arial" w:hAnsi="Arial" w:cs="Arial"/>
          <w:lang w:val="es-MX"/>
        </w:rPr>
      </w:pPr>
    </w:p>
    <w:p w14:paraId="4EF89178" w14:textId="0AF91CE3"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Otorgar crédito a</w:t>
      </w:r>
      <w:r w:rsidR="009A7CD9" w:rsidRPr="00A426E8">
        <w:rPr>
          <w:rFonts w:ascii="Arial" w:hAnsi="Arial" w:cs="Arial"/>
          <w:color w:val="000000" w:themeColor="text1"/>
        </w:rPr>
        <w:t xml:space="preserve"> </w:t>
      </w:r>
      <w:bookmarkStart w:id="754" w:name="_Hlk144970107"/>
      <w:r w:rsidR="000656D5" w:rsidRPr="00A426E8">
        <w:rPr>
          <w:rFonts w:ascii="Arial" w:hAnsi="Arial" w:cs="Arial"/>
          <w:color w:val="000000" w:themeColor="text1"/>
        </w:rPr>
        <w:t>los Constructores y/o Promotores</w:t>
      </w:r>
      <w:r w:rsidRPr="00A426E8">
        <w:rPr>
          <w:rFonts w:ascii="Arial" w:hAnsi="Arial" w:cs="Arial"/>
          <w:color w:val="000000" w:themeColor="text1"/>
        </w:rPr>
        <w:t xml:space="preserve"> Privados</w:t>
      </w:r>
      <w:r w:rsidR="00764B9A" w:rsidRPr="00A426E8">
        <w:rPr>
          <w:rFonts w:ascii="Arial" w:hAnsi="Arial" w:cs="Arial"/>
          <w:color w:val="000000" w:themeColor="text1"/>
        </w:rPr>
        <w:t xml:space="preserve"> Se financiar</w:t>
      </w:r>
      <w:r w:rsidR="00732CB7" w:rsidRPr="00A426E8">
        <w:rPr>
          <w:rFonts w:ascii="Arial" w:hAnsi="Arial" w:cs="Arial"/>
          <w:color w:val="000000" w:themeColor="text1"/>
        </w:rPr>
        <w:t>á</w:t>
      </w:r>
      <w:r w:rsidR="00764B9A" w:rsidRPr="00A426E8">
        <w:rPr>
          <w:rFonts w:ascii="Arial" w:hAnsi="Arial" w:cs="Arial"/>
          <w:color w:val="000000" w:themeColor="text1"/>
        </w:rPr>
        <w:t xml:space="preserve"> </w:t>
      </w:r>
      <w:r w:rsidR="00732CB7" w:rsidRPr="00A426E8">
        <w:rPr>
          <w:rFonts w:ascii="Arial" w:hAnsi="Arial" w:cs="Arial"/>
          <w:color w:val="000000" w:themeColor="text1"/>
        </w:rPr>
        <w:t xml:space="preserve">para el desarrollo de proyectos de vivienda </w:t>
      </w:r>
      <w:r w:rsidR="00764B9A" w:rsidRPr="00A426E8">
        <w:rPr>
          <w:rFonts w:ascii="Arial" w:hAnsi="Arial" w:cs="Arial"/>
          <w:color w:val="000000" w:themeColor="text1"/>
        </w:rPr>
        <w:t xml:space="preserve">a </w:t>
      </w:r>
      <w:r w:rsidR="006C652A" w:rsidRPr="00A426E8">
        <w:rPr>
          <w:rFonts w:ascii="Arial" w:hAnsi="Arial" w:cs="Arial"/>
          <w:color w:val="000000" w:themeColor="text1"/>
        </w:rPr>
        <w:t>los</w:t>
      </w:r>
      <w:r w:rsidR="006C4829" w:rsidRPr="00A426E8">
        <w:rPr>
          <w:rFonts w:ascii="Arial" w:hAnsi="Arial" w:cs="Arial"/>
          <w:color w:val="000000" w:themeColor="text1"/>
        </w:rPr>
        <w:t xml:space="preserve"> sujetos de crédito</w:t>
      </w:r>
      <w:r w:rsidR="00D74CA6" w:rsidRPr="00A426E8">
        <w:rPr>
          <w:rFonts w:ascii="Arial" w:hAnsi="Arial" w:cs="Arial"/>
          <w:color w:val="000000" w:themeColor="text1"/>
        </w:rPr>
        <w:t xml:space="preserve"> definidos en el presente reglamento</w:t>
      </w:r>
      <w:r w:rsidRPr="00A426E8">
        <w:rPr>
          <w:rFonts w:ascii="Arial" w:hAnsi="Arial" w:cs="Arial"/>
          <w:color w:val="000000" w:themeColor="text1"/>
        </w:rPr>
        <w:t>.</w:t>
      </w:r>
      <w:bookmarkEnd w:id="754"/>
      <w:r w:rsidRPr="00A426E8">
        <w:rPr>
          <w:rFonts w:ascii="Arial" w:hAnsi="Arial" w:cs="Arial"/>
          <w:color w:val="000000" w:themeColor="text1"/>
        </w:rPr>
        <w:t xml:space="preserve"> El Crédito Constructor podrá otorgarse teniendo en cuenta los siguientes parámetros generales</w:t>
      </w:r>
      <w:r w:rsidR="000656D5" w:rsidRPr="00A426E8">
        <w:rPr>
          <w:rFonts w:ascii="Arial" w:hAnsi="Arial" w:cs="Arial"/>
          <w:color w:val="000000" w:themeColor="text1"/>
        </w:rPr>
        <w:t>:</w:t>
      </w:r>
    </w:p>
    <w:p w14:paraId="3380D6BA" w14:textId="77777777" w:rsidR="00C8423D" w:rsidRPr="00A426E8" w:rsidRDefault="00C8423D" w:rsidP="00EE5D39">
      <w:pPr>
        <w:jc w:val="both"/>
        <w:rPr>
          <w:rFonts w:ascii="Arial" w:hAnsi="Arial" w:cs="Arial"/>
          <w:color w:val="000000" w:themeColor="text1"/>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5" w:name="_Toc437449361"/>
      <w:r w:rsidRPr="00BD54B2">
        <w:rPr>
          <w:szCs w:val="24"/>
          <w:lang w:eastAsia="es-CO"/>
        </w:rPr>
        <w:t>Prioridad.</w:t>
      </w:r>
      <w:bookmarkEnd w:id="755"/>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6" w:name="_Toc437449362"/>
      <w:r w:rsidRPr="00BD54B2">
        <w:rPr>
          <w:szCs w:val="24"/>
          <w:lang w:eastAsia="es-CO"/>
        </w:rPr>
        <w:t xml:space="preserve"> </w:t>
      </w:r>
      <w:r w:rsidR="00EE5D39" w:rsidRPr="00BD54B2">
        <w:rPr>
          <w:szCs w:val="24"/>
          <w:lang w:eastAsia="es-CO"/>
        </w:rPr>
        <w:t>5.2.2 Cobertura.</w:t>
      </w:r>
      <w:bookmarkEnd w:id="756"/>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7" w:name="_Toc437449363"/>
      <w:r w:rsidRPr="00BD54B2">
        <w:rPr>
          <w:szCs w:val="24"/>
          <w:lang w:eastAsia="es-CO"/>
        </w:rPr>
        <w:t>5.2.3 Destino.</w:t>
      </w:r>
      <w:bookmarkEnd w:id="757"/>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8" w:name="_Toc437449364"/>
      <w:r w:rsidRPr="00BD54B2">
        <w:rPr>
          <w:szCs w:val="24"/>
          <w:lang w:eastAsia="es-CO"/>
        </w:rPr>
        <w:t>5.2.4 Focalización.</w:t>
      </w:r>
      <w:bookmarkEnd w:id="758"/>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lastRenderedPageBreak/>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BD54B2">
        <w:rPr>
          <w:rFonts w:ascii="Arial" w:hAnsi="Arial" w:cs="Arial"/>
          <w:lang w:val="es-CO"/>
        </w:rPr>
        <w:t xml:space="preserve">. </w:t>
      </w:r>
    </w:p>
    <w:bookmarkEnd w:id="759"/>
    <w:p w14:paraId="03DC70FC" w14:textId="437A5DE1"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w:t>
      </w:r>
      <w:r w:rsidR="00B82F78" w:rsidRPr="00A426E8">
        <w:rPr>
          <w:rFonts w:ascii="Arial" w:hAnsi="Arial" w:cs="Arial"/>
          <w:color w:val="000000" w:themeColor="text1"/>
          <w:lang w:val="es-CO"/>
        </w:rPr>
        <w:t>al</w:t>
      </w:r>
      <w:r w:rsidR="009A7CD9" w:rsidRPr="00A426E8">
        <w:rPr>
          <w:rFonts w:ascii="Arial" w:hAnsi="Arial" w:cs="Arial"/>
          <w:color w:val="000000" w:themeColor="text1"/>
          <w:lang w:val="es-CO"/>
        </w:rPr>
        <w:t xml:space="preserve"> Documento</w:t>
      </w:r>
      <w:r w:rsidR="00B82F78" w:rsidRPr="00A426E8">
        <w:rPr>
          <w:rFonts w:ascii="Arial" w:hAnsi="Arial" w:cs="Arial"/>
          <w:color w:val="000000" w:themeColor="text1"/>
          <w:lang w:val="es-CO"/>
        </w:rPr>
        <w:t xml:space="preserve"> </w:t>
      </w:r>
      <w:r w:rsidR="00B82F78" w:rsidRPr="00BD54B2">
        <w:rPr>
          <w:rFonts w:ascii="Arial" w:hAnsi="Arial" w:cs="Arial"/>
          <w:lang w:val="es-CO"/>
        </w:rPr>
        <w:t xml:space="preserve">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6675FFB7"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A426E8">
        <w:rPr>
          <w:rFonts w:ascii="Arial" w:hAnsi="Arial" w:cs="Arial"/>
          <w:color w:val="000000" w:themeColor="text1"/>
          <w:lang w:val="es-CO" w:eastAsia="es-CO"/>
        </w:rPr>
        <w:t>Gerencia</w:t>
      </w:r>
      <w:r w:rsidR="00BE2A63" w:rsidRPr="00A426E8">
        <w:rPr>
          <w:rFonts w:ascii="Arial" w:hAnsi="Arial" w:cs="Arial"/>
          <w:color w:val="000000" w:themeColor="text1"/>
          <w:lang w:val="es-CO" w:eastAsia="es-CO"/>
        </w:rPr>
        <w:t xml:space="preserve"> Vivienda Coloca</w:t>
      </w:r>
      <w:r w:rsidR="007A7398" w:rsidRPr="00A426E8">
        <w:rPr>
          <w:rFonts w:ascii="Arial" w:hAnsi="Arial" w:cs="Arial"/>
          <w:color w:val="000000" w:themeColor="text1"/>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60"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60"/>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 xml:space="preserve">Cuando el </w:t>
      </w:r>
      <w:r w:rsidR="00CD0E65" w:rsidRPr="00A426E8">
        <w:rPr>
          <w:rFonts w:ascii="Arial" w:hAnsi="Arial" w:cs="Arial"/>
          <w:color w:val="000000" w:themeColor="text1"/>
          <w:lang w:eastAsia="es-CO"/>
        </w:rPr>
        <w:t>Patrimonio</w:t>
      </w:r>
      <w:r w:rsidRPr="00A426E8">
        <w:rPr>
          <w:rFonts w:ascii="Arial" w:hAnsi="Arial" w:cs="Arial"/>
          <w:color w:val="000000" w:themeColor="text1"/>
          <w:lang w:eastAsia="es-CO"/>
        </w:rPr>
        <w:t xml:space="preserve"> </w:t>
      </w:r>
      <w:r w:rsidR="00CD0E65" w:rsidRPr="00A426E8">
        <w:rPr>
          <w:rFonts w:ascii="Arial" w:hAnsi="Arial" w:cs="Arial"/>
          <w:color w:val="000000" w:themeColor="text1"/>
          <w:lang w:eastAsia="es-CO"/>
        </w:rPr>
        <w:t>Autónomo sea s</w:t>
      </w:r>
      <w:r w:rsidRPr="00A426E8">
        <w:rPr>
          <w:rFonts w:ascii="Arial" w:hAnsi="Arial" w:cs="Arial"/>
          <w:color w:val="000000" w:themeColor="text1"/>
          <w:lang w:eastAsia="es-CO"/>
        </w:rPr>
        <w:t>ujeto</w:t>
      </w:r>
      <w:r w:rsidR="00CD0E65" w:rsidRPr="00A426E8">
        <w:rPr>
          <w:rFonts w:ascii="Arial" w:hAnsi="Arial" w:cs="Arial"/>
          <w:color w:val="000000" w:themeColor="text1"/>
          <w:lang w:eastAsia="es-CO"/>
        </w:rPr>
        <w:t xml:space="preserve"> de crédito</w:t>
      </w:r>
      <w:r w:rsidR="009A7CD9" w:rsidRPr="00A426E8">
        <w:rPr>
          <w:rFonts w:ascii="Arial" w:hAnsi="Arial" w:cs="Arial"/>
          <w:color w:val="000000" w:themeColor="text1"/>
          <w:lang w:eastAsia="es-CO"/>
        </w:rPr>
        <w:t>,</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l</w:t>
      </w:r>
      <w:r w:rsidR="009A7CD9" w:rsidRPr="00A426E8">
        <w:rPr>
          <w:rFonts w:ascii="Arial" w:hAnsi="Arial" w:cs="Arial"/>
          <w:color w:val="000000" w:themeColor="text1"/>
          <w:lang w:eastAsia="es-CO"/>
        </w:rPr>
        <w:t>o</w:t>
      </w:r>
      <w:r w:rsidR="00CD0E65" w:rsidRPr="00A426E8">
        <w:rPr>
          <w:rFonts w:ascii="Arial" w:hAnsi="Arial" w:cs="Arial"/>
          <w:color w:val="000000" w:themeColor="text1"/>
          <w:lang w:eastAsia="es-CO"/>
        </w:rPr>
        <w:t xml:space="preserve">s requisitos </w:t>
      </w:r>
      <w:r w:rsidRPr="00A426E8">
        <w:rPr>
          <w:rFonts w:ascii="Arial" w:hAnsi="Arial" w:cs="Arial"/>
          <w:color w:val="000000" w:themeColor="text1"/>
          <w:lang w:eastAsia="es-CO"/>
        </w:rPr>
        <w:t>exigidos por el Fondo Nacional de Ahorro S.A. deberán cumplirse por parte del</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fideicomitente </w:t>
      </w:r>
      <w:r w:rsidR="00CD0E65" w:rsidRPr="00A426E8">
        <w:rPr>
          <w:rFonts w:ascii="Arial" w:hAnsi="Arial" w:cs="Arial"/>
          <w:color w:val="000000" w:themeColor="text1"/>
          <w:lang w:eastAsia="es-CO"/>
        </w:rPr>
        <w:t xml:space="preserve">constructor, </w:t>
      </w:r>
      <w:r w:rsidRPr="00A426E8">
        <w:rPr>
          <w:rFonts w:ascii="Arial" w:hAnsi="Arial" w:cs="Arial"/>
          <w:color w:val="000000" w:themeColor="text1"/>
          <w:lang w:eastAsia="es-CO"/>
        </w:rPr>
        <w:t xml:space="preserve">quien a su vez deberá fungir como </w:t>
      </w:r>
      <w:r w:rsidR="00CD0E65" w:rsidRPr="00A426E8">
        <w:rPr>
          <w:rFonts w:ascii="Arial" w:hAnsi="Arial" w:cs="Arial"/>
          <w:color w:val="000000" w:themeColor="text1"/>
          <w:lang w:eastAsia="es-CO"/>
        </w:rPr>
        <w:t>de deudor solidario del</w:t>
      </w:r>
      <w:r w:rsidRPr="00A426E8">
        <w:rPr>
          <w:rFonts w:ascii="Arial" w:hAnsi="Arial" w:cs="Arial"/>
          <w:color w:val="000000" w:themeColor="text1"/>
          <w:lang w:eastAsia="es-CO"/>
        </w:rPr>
        <w:t xml:space="preserve"> crédito. </w:t>
      </w:r>
    </w:p>
    <w:p w14:paraId="7A2CB308" w14:textId="77777777" w:rsidR="0027737F" w:rsidRPr="00A426E8" w:rsidRDefault="0027737F" w:rsidP="00CD0E65">
      <w:pPr>
        <w:jc w:val="both"/>
        <w:rPr>
          <w:rFonts w:ascii="Arial" w:hAnsi="Arial" w:cs="Arial"/>
          <w:color w:val="000000" w:themeColor="text1"/>
          <w:lang w:eastAsia="es-CO"/>
        </w:rPr>
      </w:pPr>
    </w:p>
    <w:p w14:paraId="1D1323ED" w14:textId="0CDFA0E9" w:rsidR="00CD0E65"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Para efectos de aprobar la operación, el fideicomiso deberá estar formalizado a través de un co</w:t>
      </w:r>
      <w:r w:rsidR="00CD0E65" w:rsidRPr="00A426E8">
        <w:rPr>
          <w:rFonts w:ascii="Arial" w:hAnsi="Arial" w:cs="Arial"/>
          <w:color w:val="000000" w:themeColor="text1"/>
          <w:lang w:eastAsia="es-CO"/>
        </w:rPr>
        <w:t>ntrato de Fiducia Mercantil</w:t>
      </w:r>
      <w:r w:rsidRPr="00A426E8">
        <w:rPr>
          <w:rFonts w:ascii="Arial" w:hAnsi="Arial" w:cs="Arial"/>
          <w:color w:val="000000" w:themeColor="text1"/>
          <w:lang w:eastAsia="es-CO"/>
        </w:rPr>
        <w:t xml:space="preserve"> celebrado con </w:t>
      </w:r>
      <w:r w:rsidR="00CD0E65" w:rsidRPr="00A426E8">
        <w:rPr>
          <w:rFonts w:ascii="Arial" w:hAnsi="Arial" w:cs="Arial"/>
          <w:color w:val="000000" w:themeColor="text1"/>
          <w:lang w:eastAsia="es-CO"/>
        </w:rPr>
        <w:t xml:space="preserve">una </w:t>
      </w:r>
      <w:r w:rsidRPr="00A426E8">
        <w:rPr>
          <w:rFonts w:ascii="Arial" w:hAnsi="Arial" w:cs="Arial"/>
          <w:color w:val="000000" w:themeColor="text1"/>
          <w:lang w:eastAsia="es-CO"/>
        </w:rPr>
        <w:t xml:space="preserve">entidad </w:t>
      </w:r>
      <w:r w:rsidR="00CD0E65" w:rsidRPr="00A426E8">
        <w:rPr>
          <w:rFonts w:ascii="Arial" w:hAnsi="Arial" w:cs="Arial"/>
          <w:color w:val="000000" w:themeColor="text1"/>
          <w:lang w:eastAsia="es-CO"/>
        </w:rPr>
        <w:t>fiduciaria vigilada por la Superintendencia Financiera de Colombia.</w:t>
      </w:r>
    </w:p>
    <w:p w14:paraId="74B9F5AF" w14:textId="77777777" w:rsidR="00CD0E65" w:rsidRPr="00A426E8" w:rsidRDefault="00CD0E65" w:rsidP="00EE5D39">
      <w:pPr>
        <w:jc w:val="both"/>
        <w:rPr>
          <w:rFonts w:ascii="Arial" w:hAnsi="Arial" w:cs="Arial"/>
          <w:color w:val="000000" w:themeColor="text1"/>
          <w:lang w:eastAsia="es-CO"/>
        </w:rPr>
      </w:pPr>
    </w:p>
    <w:p w14:paraId="1C77CF8E" w14:textId="72090E40"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potencial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liente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onstructor </w:t>
      </w:r>
      <w:r w:rsidR="00DD62DE" w:rsidRPr="00A426E8">
        <w:rPr>
          <w:rFonts w:ascii="Arial" w:hAnsi="Arial" w:cs="Arial"/>
          <w:color w:val="000000" w:themeColor="text1"/>
          <w:lang w:eastAsia="es-CO"/>
        </w:rPr>
        <w:t>sujeto de crédito</w:t>
      </w:r>
      <w:r w:rsidR="00B20786" w:rsidRPr="00A426E8">
        <w:rPr>
          <w:rFonts w:ascii="Arial" w:hAnsi="Arial" w:cs="Arial"/>
          <w:color w:val="000000" w:themeColor="text1"/>
          <w:lang w:eastAsia="es-CO"/>
        </w:rPr>
        <w:t xml:space="preserve"> </w:t>
      </w:r>
      <w:r w:rsidRPr="00A426E8">
        <w:rPr>
          <w:rFonts w:ascii="Arial" w:hAnsi="Arial" w:cs="Arial"/>
          <w:color w:val="000000" w:themeColor="text1"/>
          <w:lang w:eastAsia="es-CO"/>
        </w:rPr>
        <w:t>debe encontrarse al día en las obligaciones financieras, laborales, parafiscales e impositivas.</w:t>
      </w:r>
    </w:p>
    <w:p w14:paraId="3B62369B" w14:textId="77777777" w:rsidR="00EE5D39" w:rsidRPr="00A426E8" w:rsidRDefault="00EE5D39" w:rsidP="00EE5D39">
      <w:pPr>
        <w:jc w:val="both"/>
        <w:rPr>
          <w:rFonts w:ascii="Arial" w:hAnsi="Arial" w:cs="Arial"/>
          <w:color w:val="000000" w:themeColor="text1"/>
          <w:lang w:eastAsia="es-CO"/>
        </w:rPr>
      </w:pPr>
    </w:p>
    <w:p w14:paraId="41D59EBE" w14:textId="127584C9"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sujeto de riesgo para el </w:t>
      </w:r>
      <w:r w:rsidR="00F055CB" w:rsidRPr="00A426E8">
        <w:rPr>
          <w:rFonts w:ascii="Arial" w:hAnsi="Arial" w:cs="Arial"/>
          <w:color w:val="000000" w:themeColor="text1"/>
          <w:lang w:eastAsia="es-CO"/>
        </w:rPr>
        <w:t>Fondo Nacional del Ahorro S.A</w:t>
      </w:r>
      <w:r w:rsidR="009E2CC2"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es el Constructor </w:t>
      </w:r>
      <w:r w:rsidR="00B20786" w:rsidRPr="00A426E8">
        <w:rPr>
          <w:rFonts w:ascii="Arial" w:hAnsi="Arial" w:cs="Arial"/>
          <w:color w:val="000000" w:themeColor="text1"/>
          <w:lang w:eastAsia="es-CO"/>
        </w:rPr>
        <w:t xml:space="preserve">o desarrollador del proyecto </w:t>
      </w:r>
      <w:r w:rsidRPr="00A426E8">
        <w:rPr>
          <w:rFonts w:ascii="Arial" w:hAnsi="Arial" w:cs="Arial"/>
          <w:color w:val="000000" w:themeColor="text1"/>
          <w:lang w:eastAsia="es-CO"/>
        </w:rPr>
        <w:t xml:space="preserve">que cumpla las políticas de aceptación exigidas en el Manual de Gestión de Riesgo de Crédito del Sistema Integral de Administración de Riesgo SIAR. </w:t>
      </w:r>
    </w:p>
    <w:p w14:paraId="3B37AEF9" w14:textId="77777777" w:rsidR="00EE5D39" w:rsidRPr="00A426E8" w:rsidRDefault="00EE5D39" w:rsidP="00EE5D39">
      <w:pPr>
        <w:jc w:val="both"/>
        <w:rPr>
          <w:rFonts w:ascii="Arial" w:hAnsi="Arial" w:cs="Arial"/>
          <w:color w:val="000000" w:themeColor="text1"/>
          <w:lang w:eastAsia="es-CO"/>
        </w:rPr>
      </w:pPr>
    </w:p>
    <w:p w14:paraId="59044AC0" w14:textId="37049B40" w:rsidR="001154A6" w:rsidRPr="00A426E8" w:rsidRDefault="001154A6" w:rsidP="00EE5D39">
      <w:pPr>
        <w:jc w:val="both"/>
        <w:rPr>
          <w:rFonts w:ascii="Arial" w:hAnsi="Arial" w:cs="Arial"/>
          <w:color w:val="000000" w:themeColor="text1"/>
          <w:lang w:eastAsia="es-CO"/>
        </w:rPr>
      </w:pPr>
      <w:r w:rsidRPr="00A426E8">
        <w:rPr>
          <w:rFonts w:ascii="Arial" w:hAnsi="Arial" w:cs="Arial"/>
          <w:color w:val="000000" w:themeColor="text1"/>
          <w:lang w:eastAsia="es-CO"/>
        </w:rPr>
        <w:t>En el caso</w:t>
      </w:r>
      <w:r w:rsidR="0054078B" w:rsidRPr="00A426E8">
        <w:rPr>
          <w:rFonts w:ascii="Arial" w:hAnsi="Arial" w:cs="Arial"/>
          <w:color w:val="000000" w:themeColor="text1"/>
          <w:lang w:eastAsia="es-CO"/>
        </w:rPr>
        <w:t>,</w:t>
      </w:r>
      <w:r w:rsidRPr="00A426E8">
        <w:rPr>
          <w:rFonts w:ascii="Arial" w:hAnsi="Arial" w:cs="Arial"/>
          <w:color w:val="000000" w:themeColor="text1"/>
          <w:lang w:eastAsia="es-CO"/>
        </w:rPr>
        <w:t xml:space="preserve"> que el sujeto de crédito sea el </w:t>
      </w:r>
      <w:r w:rsidR="0054078B" w:rsidRPr="00A426E8">
        <w:rPr>
          <w:rFonts w:ascii="Arial" w:hAnsi="Arial" w:cs="Arial"/>
          <w:color w:val="000000" w:themeColor="text1"/>
          <w:lang w:eastAsia="es-CO"/>
        </w:rPr>
        <w:t>P</w:t>
      </w:r>
      <w:r w:rsidRPr="00A426E8">
        <w:rPr>
          <w:rFonts w:ascii="Arial" w:hAnsi="Arial" w:cs="Arial"/>
          <w:color w:val="000000" w:themeColor="text1"/>
          <w:lang w:eastAsia="es-CO"/>
        </w:rPr>
        <w:t xml:space="preserve">atrimonio </w:t>
      </w:r>
      <w:r w:rsidR="0054078B" w:rsidRPr="00A426E8">
        <w:rPr>
          <w:rFonts w:ascii="Arial" w:hAnsi="Arial" w:cs="Arial"/>
          <w:color w:val="000000" w:themeColor="text1"/>
          <w:lang w:eastAsia="es-CO"/>
        </w:rPr>
        <w:t>A</w:t>
      </w:r>
      <w:r w:rsidRPr="00A426E8">
        <w:rPr>
          <w:rFonts w:ascii="Arial" w:hAnsi="Arial" w:cs="Arial"/>
          <w:color w:val="000000" w:themeColor="text1"/>
          <w:lang w:eastAsia="es-CO"/>
        </w:rPr>
        <w:t>utónomo será exigible previo a la aprobación de la operación la transferencia del lote al fideicomiso.</w:t>
      </w:r>
    </w:p>
    <w:p w14:paraId="388527A6" w14:textId="77777777" w:rsidR="001154A6" w:rsidRPr="00A426E8" w:rsidRDefault="001154A6" w:rsidP="00EE5D39">
      <w:pPr>
        <w:jc w:val="both"/>
        <w:rPr>
          <w:rFonts w:ascii="Arial" w:hAnsi="Arial" w:cs="Arial"/>
          <w:color w:val="000000" w:themeColor="text1"/>
          <w:lang w:eastAsia="es-CO"/>
        </w:rPr>
      </w:pPr>
    </w:p>
    <w:p w14:paraId="62405907" w14:textId="38DDEA24" w:rsidR="00EE5D39" w:rsidRPr="00BD54B2" w:rsidRDefault="00AF504B" w:rsidP="00EE5D39">
      <w:pPr>
        <w:jc w:val="both"/>
        <w:rPr>
          <w:rFonts w:ascii="Arial" w:hAnsi="Arial" w:cs="Arial"/>
          <w:lang w:eastAsia="es-CO"/>
        </w:rPr>
      </w:pPr>
      <w:r w:rsidRPr="00A426E8">
        <w:rPr>
          <w:rFonts w:ascii="Arial" w:hAnsi="Arial" w:cs="Arial"/>
          <w:color w:val="000000" w:themeColor="text1"/>
          <w:lang w:eastAsia="es-CO"/>
        </w:rPr>
        <w:t>La Sociedad</w:t>
      </w:r>
      <w:r w:rsidR="009E2CC2" w:rsidRPr="00A426E8">
        <w:rPr>
          <w:rFonts w:ascii="Arial" w:hAnsi="Arial" w:cs="Arial"/>
          <w:color w:val="000000" w:themeColor="text1"/>
          <w:lang w:eastAsia="es-CO"/>
        </w:rPr>
        <w:t xml:space="preserve"> </w:t>
      </w:r>
      <w:r w:rsidR="00EE5D39" w:rsidRPr="00A426E8">
        <w:rPr>
          <w:rFonts w:ascii="Arial" w:hAnsi="Arial" w:cs="Arial"/>
          <w:color w:val="000000" w:themeColor="text1"/>
          <w:lang w:eastAsia="es-CO"/>
        </w:rPr>
        <w:t>se reservará el derecho de otorgar o desembolsar créditos</w:t>
      </w:r>
      <w:r w:rsidR="00EE5D39" w:rsidRPr="00BD54B2">
        <w:rPr>
          <w:rFonts w:ascii="Arial" w:hAnsi="Arial" w:cs="Arial"/>
          <w:lang w:eastAsia="es-CO"/>
        </w:rPr>
        <w:t>,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00B1C62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0C44B5" w:rsidRPr="00A426E8">
        <w:rPr>
          <w:rFonts w:ascii="Arial" w:hAnsi="Arial" w:cs="Arial"/>
          <w:color w:val="000000" w:themeColor="text1"/>
          <w:lang w:eastAsia="es-CO"/>
        </w:rPr>
        <w:t>documento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La fiduciaria también debe tener la administración y control de los recursos provenientes de cualquier tipo de subsidio e incluir las reglas para esta administración.</w:t>
      </w:r>
    </w:p>
    <w:p w14:paraId="73AFA49B" w14:textId="24A78CB7" w:rsidR="00846C33" w:rsidRPr="00A426E8" w:rsidRDefault="00D80BA1"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135DFD64" w14:textId="2A51B2D7" w:rsidR="00A426E8" w:rsidRPr="00A426E8" w:rsidRDefault="00A426E8"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La vigencia del Patrimonio Autónomo en ningún caso podrá ser menor a la vigencia del crédito y en todo caso, deberá estar vigente hasta tanto tenga lugar la extinción total de la obligación</w:t>
      </w:r>
      <w:r>
        <w:rPr>
          <w:color w:val="000000" w:themeColor="text1"/>
          <w:lang w:eastAsia="es-CO"/>
        </w:rPr>
        <w:t>.</w:t>
      </w:r>
    </w:p>
    <w:p w14:paraId="1ECE7C1F" w14:textId="77777777" w:rsidR="00A426E8" w:rsidRPr="00A426E8" w:rsidRDefault="00A426E8" w:rsidP="00A426E8">
      <w:pPr>
        <w:pStyle w:val="Prrafodelista"/>
        <w:ind w:left="928"/>
        <w:rPr>
          <w:rFonts w:eastAsia="Times New Roman"/>
          <w:color w:val="000000" w:themeColor="text1"/>
          <w:lang w:val="es-CO" w:eastAsia="es-CO"/>
        </w:rPr>
      </w:pPr>
    </w:p>
    <w:p w14:paraId="010C5E39" w14:textId="473113AD" w:rsidR="008D322D" w:rsidRPr="00A426E8" w:rsidRDefault="000C44B5" w:rsidP="00C42924">
      <w:pPr>
        <w:pStyle w:val="xmsonormal"/>
        <w:spacing w:after="160" w:line="276" w:lineRule="atLeast"/>
        <w:jc w:val="both"/>
        <w:rPr>
          <w:rFonts w:ascii="Arial" w:hAnsi="Arial" w:cs="Arial"/>
          <w:color w:val="000000" w:themeColor="text1"/>
        </w:rPr>
      </w:pPr>
      <w:bookmarkStart w:id="761" w:name="_Hlk187745746"/>
      <w:r w:rsidRPr="00A426E8">
        <w:rPr>
          <w:rFonts w:ascii="Arial" w:hAnsi="Arial" w:cs="Arial"/>
          <w:color w:val="000000" w:themeColor="text1"/>
        </w:rPr>
        <w:t>Adicionalmente</w:t>
      </w:r>
      <w:r w:rsidR="00891E2A" w:rsidRPr="00A426E8">
        <w:rPr>
          <w:rFonts w:ascii="Arial" w:hAnsi="Arial" w:cs="Arial"/>
          <w:color w:val="000000" w:themeColor="text1"/>
        </w:rPr>
        <w:t>, c</w:t>
      </w:r>
      <w:r w:rsidR="008D322D" w:rsidRPr="00A426E8">
        <w:rPr>
          <w:rFonts w:ascii="Arial" w:hAnsi="Arial" w:cs="Arial"/>
          <w:color w:val="000000" w:themeColor="text1"/>
        </w:rPr>
        <w:t xml:space="preserve">uando el Patrimonio </w:t>
      </w:r>
      <w:r w:rsidR="00535F5C" w:rsidRPr="00A426E8">
        <w:rPr>
          <w:rFonts w:ascii="Arial" w:hAnsi="Arial" w:cs="Arial"/>
          <w:color w:val="000000" w:themeColor="text1"/>
        </w:rPr>
        <w:t>Autónomo</w:t>
      </w:r>
      <w:r w:rsidR="008D322D" w:rsidRPr="00A426E8">
        <w:rPr>
          <w:rFonts w:ascii="Arial" w:hAnsi="Arial" w:cs="Arial"/>
          <w:color w:val="000000" w:themeColor="text1"/>
        </w:rPr>
        <w:t xml:space="preserve"> es solicitante </w:t>
      </w:r>
      <w:r w:rsidR="00091B4A" w:rsidRPr="00A426E8">
        <w:rPr>
          <w:rFonts w:ascii="Arial" w:hAnsi="Arial" w:cs="Arial"/>
          <w:color w:val="000000" w:themeColor="text1"/>
        </w:rPr>
        <w:t xml:space="preserve">de crédito </w:t>
      </w:r>
      <w:r w:rsidR="008D322D" w:rsidRPr="00A426E8">
        <w:rPr>
          <w:rFonts w:ascii="Arial" w:hAnsi="Arial" w:cs="Arial"/>
          <w:color w:val="000000" w:themeColor="text1"/>
        </w:rPr>
        <w:t xml:space="preserve">el </w:t>
      </w:r>
      <w:r w:rsidR="00891E2A" w:rsidRPr="00A426E8">
        <w:rPr>
          <w:rFonts w:ascii="Arial" w:hAnsi="Arial" w:cs="Arial"/>
          <w:color w:val="000000" w:themeColor="text1"/>
        </w:rPr>
        <w:t>C</w:t>
      </w:r>
      <w:r w:rsidR="008D322D" w:rsidRPr="00A426E8">
        <w:rPr>
          <w:rFonts w:ascii="Arial" w:hAnsi="Arial" w:cs="Arial"/>
          <w:color w:val="000000" w:themeColor="text1"/>
        </w:rPr>
        <w:t xml:space="preserve">ontrato </w:t>
      </w:r>
      <w:r w:rsidR="00891E2A" w:rsidRPr="00A426E8">
        <w:rPr>
          <w:rFonts w:ascii="Arial" w:hAnsi="Arial" w:cs="Arial"/>
          <w:color w:val="000000" w:themeColor="text1"/>
        </w:rPr>
        <w:t>F</w:t>
      </w:r>
      <w:r w:rsidR="008D322D" w:rsidRPr="00A426E8">
        <w:rPr>
          <w:rFonts w:ascii="Arial" w:hAnsi="Arial" w:cs="Arial"/>
          <w:color w:val="000000" w:themeColor="text1"/>
        </w:rPr>
        <w:t xml:space="preserve">iduciario </w:t>
      </w:r>
      <w:r w:rsidR="007E2796" w:rsidRPr="00A426E8">
        <w:rPr>
          <w:rFonts w:ascii="Arial" w:hAnsi="Arial" w:cs="Arial"/>
          <w:color w:val="000000" w:themeColor="text1"/>
        </w:rPr>
        <w:t xml:space="preserve">debe </w:t>
      </w:r>
      <w:r w:rsidR="008D322D" w:rsidRPr="00A426E8">
        <w:rPr>
          <w:rFonts w:ascii="Arial" w:hAnsi="Arial" w:cs="Arial"/>
          <w:color w:val="000000" w:themeColor="text1"/>
        </w:rPr>
        <w:t>cumplir</w:t>
      </w:r>
      <w:r w:rsidR="007E2796" w:rsidRPr="00A426E8">
        <w:rPr>
          <w:rFonts w:ascii="Arial" w:hAnsi="Arial" w:cs="Arial"/>
          <w:color w:val="000000" w:themeColor="text1"/>
        </w:rPr>
        <w:t xml:space="preserve"> con:</w:t>
      </w:r>
    </w:p>
    <w:p w14:paraId="275C92A2" w14:textId="79659230" w:rsidR="0056725C" w:rsidRPr="00A426E8" w:rsidRDefault="007E2796"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finalidad del fideicomiso debe incluir que éste obra en calidad de promotor del proyecto.</w:t>
      </w:r>
    </w:p>
    <w:p w14:paraId="3AED6024" w14:textId="77777777" w:rsidR="00DC05AA" w:rsidRPr="00A426E8" w:rsidRDefault="00DC05AA" w:rsidP="00DC05AA">
      <w:pPr>
        <w:ind w:left="360"/>
        <w:rPr>
          <w:color w:val="000000" w:themeColor="text1"/>
          <w:lang w:eastAsia="es-CO"/>
        </w:rPr>
      </w:pPr>
    </w:p>
    <w:p w14:paraId="79A74CB0" w14:textId="40CE2E80" w:rsidR="00417E71" w:rsidRPr="00A426E8" w:rsidRDefault="00E46BD1"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costos asociados </w:t>
      </w:r>
      <w:r w:rsidR="00123C37" w:rsidRPr="00A426E8">
        <w:rPr>
          <w:rFonts w:eastAsia="Times New Roman"/>
          <w:color w:val="000000" w:themeColor="text1"/>
          <w:lang w:val="es-CO" w:eastAsia="es-CO"/>
        </w:rPr>
        <w:t xml:space="preserve">a la realización de los informes de </w:t>
      </w:r>
      <w:r w:rsidR="00DC05AA" w:rsidRPr="00A426E8">
        <w:rPr>
          <w:rFonts w:eastAsia="Times New Roman"/>
          <w:color w:val="000000" w:themeColor="text1"/>
          <w:lang w:val="es-CO" w:eastAsia="es-CO"/>
        </w:rPr>
        <w:t>avance</w:t>
      </w:r>
      <w:r w:rsidRPr="00A426E8">
        <w:rPr>
          <w:rFonts w:eastAsia="Times New Roman"/>
          <w:color w:val="000000" w:themeColor="text1"/>
          <w:lang w:val="es-CO" w:eastAsia="es-CO"/>
        </w:rPr>
        <w:t xml:space="preserve"> de obra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w:t>
      </w:r>
      <w:r w:rsidR="00C53976" w:rsidRPr="00A426E8">
        <w:rPr>
          <w:rFonts w:eastAsia="Times New Roman"/>
          <w:color w:val="000000" w:themeColor="text1"/>
          <w:lang w:val="es-CO" w:eastAsia="es-CO"/>
        </w:rPr>
        <w:t>deberán</w:t>
      </w:r>
      <w:r w:rsidRPr="00A426E8">
        <w:rPr>
          <w:rFonts w:eastAsia="Times New Roman"/>
          <w:color w:val="000000" w:themeColor="text1"/>
          <w:lang w:val="es-CO" w:eastAsia="es-CO"/>
        </w:rPr>
        <w:t xml:space="preserve"> ser </w:t>
      </w:r>
      <w:r w:rsidR="00901CE5" w:rsidRPr="00A426E8">
        <w:rPr>
          <w:rFonts w:eastAsia="Times New Roman"/>
          <w:color w:val="000000" w:themeColor="text1"/>
          <w:lang w:val="es-CO" w:eastAsia="es-CO"/>
        </w:rPr>
        <w:t>asumidos por el P</w:t>
      </w:r>
      <w:r w:rsidR="00DC05AA" w:rsidRPr="00A426E8">
        <w:rPr>
          <w:rFonts w:eastAsia="Times New Roman"/>
          <w:color w:val="000000" w:themeColor="text1"/>
          <w:lang w:val="es-CO" w:eastAsia="es-CO"/>
        </w:rPr>
        <w:t>atrimonio Autónomo</w:t>
      </w:r>
      <w:r w:rsidR="00AA0D93" w:rsidRPr="00A426E8">
        <w:rPr>
          <w:rFonts w:eastAsia="Times New Roman"/>
          <w:color w:val="000000" w:themeColor="text1"/>
          <w:lang w:val="es-CO" w:eastAsia="es-CO"/>
        </w:rPr>
        <w:t>.</w:t>
      </w:r>
    </w:p>
    <w:p w14:paraId="41969203" w14:textId="77777777" w:rsidR="00DC05AA" w:rsidRPr="00A426E8" w:rsidRDefault="00DC05AA" w:rsidP="00DC05AA">
      <w:pPr>
        <w:pStyle w:val="Prrafodelista"/>
        <w:rPr>
          <w:rFonts w:eastAsia="Times New Roman"/>
          <w:color w:val="000000" w:themeColor="text1"/>
          <w:lang w:val="es-CO" w:eastAsia="es-CO"/>
        </w:rPr>
      </w:pPr>
    </w:p>
    <w:p w14:paraId="5E6E1E8B" w14:textId="39140F28" w:rsidR="00DC05AA" w:rsidRPr="00A426E8" w:rsidRDefault="00DC05A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facultad de que el fideicomiso, a través de su vocero, pueda solicitar, contemplar y/o aceptar en el marco de lo que el Fondo Nacional del Ahorro S.A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tenga definido, </w:t>
      </w:r>
      <w:r w:rsidR="00613B5D" w:rsidRPr="00A426E8">
        <w:rPr>
          <w:rFonts w:eastAsia="Times New Roman"/>
          <w:color w:val="000000" w:themeColor="text1"/>
          <w:lang w:val="es-CO" w:eastAsia="es-CO"/>
        </w:rPr>
        <w:t xml:space="preserve">como </w:t>
      </w:r>
      <w:r w:rsidRPr="00A426E8">
        <w:rPr>
          <w:rFonts w:eastAsia="Times New Roman"/>
          <w:color w:val="000000" w:themeColor="text1"/>
          <w:lang w:val="es-CO" w:eastAsia="es-CO"/>
        </w:rPr>
        <w:t>posibles alternativas o mecanismos de normalización cuando la obligación asumida con aquel pueda requerirlo.</w:t>
      </w:r>
    </w:p>
    <w:p w14:paraId="0944EF71" w14:textId="13C2857A" w:rsidR="00FA27DA" w:rsidRPr="00A426E8" w:rsidRDefault="00FA27D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demás </w:t>
      </w:r>
      <w:r w:rsidR="007222B5" w:rsidRPr="00A426E8">
        <w:rPr>
          <w:rFonts w:eastAsia="Times New Roman"/>
          <w:color w:val="000000" w:themeColor="text1"/>
          <w:lang w:val="es-CO" w:eastAsia="es-CO"/>
        </w:rPr>
        <w:t>lineamentos descritos en el numeral</w:t>
      </w:r>
      <w:r w:rsidRPr="00A426E8">
        <w:rPr>
          <w:rFonts w:eastAsia="Times New Roman"/>
          <w:color w:val="000000" w:themeColor="text1"/>
          <w:lang w:val="es-CO" w:eastAsia="es-CO"/>
        </w:rPr>
        <w:t xml:space="preserve"> </w:t>
      </w:r>
      <w:r w:rsidR="0059374C" w:rsidRPr="00A426E8">
        <w:rPr>
          <w:rFonts w:eastAsia="Times New Roman"/>
          <w:color w:val="000000" w:themeColor="text1"/>
          <w:lang w:val="es-CO" w:eastAsia="es-CO"/>
        </w:rPr>
        <w:t>“</w:t>
      </w:r>
      <w:r w:rsidR="007222B5" w:rsidRPr="00A426E8">
        <w:rPr>
          <w:rFonts w:eastAsia="Times New Roman"/>
          <w:color w:val="000000" w:themeColor="text1"/>
          <w:lang w:val="es-CO" w:eastAsia="es-CO"/>
        </w:rPr>
        <w:t>5.6</w:t>
      </w:r>
      <w:r w:rsidR="0059374C" w:rsidRPr="00A426E8">
        <w:rPr>
          <w:rFonts w:ascii="Arial Narrow" w:eastAsia="Times New Roman" w:hAnsi="Arial Narrow" w:cs="Times New Roman"/>
          <w:color w:val="000000" w:themeColor="text1"/>
          <w:lang w:val="es-CO"/>
        </w:rPr>
        <w:t xml:space="preserve"> </w:t>
      </w:r>
      <w:r w:rsidR="0059374C" w:rsidRPr="00A426E8">
        <w:rPr>
          <w:rFonts w:eastAsia="Times New Roman"/>
          <w:color w:val="000000" w:themeColor="text1"/>
          <w:lang w:val="es-CO" w:eastAsia="es-CO"/>
        </w:rPr>
        <w:t xml:space="preserve">Instrumentación Crédito Constructor” </w:t>
      </w:r>
      <w:r w:rsidR="004A73DA" w:rsidRPr="00A426E8">
        <w:rPr>
          <w:rFonts w:eastAsia="Times New Roman"/>
          <w:color w:val="000000" w:themeColor="text1"/>
          <w:lang w:val="es-CO" w:eastAsia="es-CO"/>
        </w:rPr>
        <w:t>del presente reglamento.</w:t>
      </w:r>
    </w:p>
    <w:p w14:paraId="1EAA4C02" w14:textId="423848F5" w:rsidR="00626084" w:rsidRDefault="00B700C0" w:rsidP="00FA27DA">
      <w:pPr>
        <w:pStyle w:val="Prrafodelista"/>
        <w:numPr>
          <w:ilvl w:val="0"/>
          <w:numId w:val="56"/>
        </w:numPr>
        <w:rPr>
          <w:rFonts w:eastAsia="Times New Roman"/>
          <w:color w:val="2E74B5" w:themeColor="accent1" w:themeShade="BF"/>
          <w:lang w:val="es-CO" w:eastAsia="es-CO"/>
        </w:rPr>
      </w:pPr>
      <w:r w:rsidRPr="00A426E8">
        <w:rPr>
          <w:rFonts w:eastAsia="Times New Roman"/>
          <w:color w:val="000000" w:themeColor="text1"/>
          <w:lang w:val="es-CO" w:eastAsia="es-CO"/>
        </w:rPr>
        <w:t xml:space="preserve">La facultad de que el fideicomiso, a través de su vocero </w:t>
      </w:r>
      <w:r w:rsidR="00AD49B5" w:rsidRPr="00A426E8">
        <w:rPr>
          <w:rFonts w:eastAsia="Times New Roman"/>
          <w:color w:val="000000" w:themeColor="text1"/>
          <w:lang w:val="es-CO" w:eastAsia="es-CO"/>
        </w:rPr>
        <w:t>pueda gesti</w:t>
      </w:r>
      <w:r w:rsidR="0082215F" w:rsidRPr="00A426E8">
        <w:rPr>
          <w:rFonts w:eastAsia="Times New Roman"/>
          <w:color w:val="000000" w:themeColor="text1"/>
          <w:lang w:val="es-CO" w:eastAsia="es-CO"/>
        </w:rPr>
        <w:t xml:space="preserve">onar todas las actividades </w:t>
      </w:r>
      <w:r w:rsidR="00254DE8" w:rsidRPr="00A426E8">
        <w:rPr>
          <w:rFonts w:eastAsia="Times New Roman"/>
          <w:color w:val="000000" w:themeColor="text1"/>
          <w:lang w:val="es-CO" w:eastAsia="es-CO"/>
        </w:rPr>
        <w:t>propias en su calidad de</w:t>
      </w:r>
      <w:r w:rsidR="00AD49B5" w:rsidRPr="00A426E8">
        <w:rPr>
          <w:rFonts w:eastAsia="Times New Roman"/>
          <w:color w:val="000000" w:themeColor="text1"/>
          <w:lang w:val="es-CO" w:eastAsia="es-CO"/>
        </w:rPr>
        <w:t xml:space="preserve"> deudor</w:t>
      </w:r>
      <w:r w:rsidR="0082215F">
        <w:rPr>
          <w:rFonts w:eastAsia="Times New Roman"/>
          <w:color w:val="2E74B5" w:themeColor="accent1" w:themeShade="BF"/>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1"/>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209061D0"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A426E8">
        <w:rPr>
          <w:rFonts w:ascii="Arial" w:hAnsi="Arial" w:cs="Arial"/>
          <w:color w:val="000000" w:themeColor="text1"/>
          <w:lang w:val="es-CO" w:eastAsia="es-CO"/>
        </w:rPr>
        <w:t xml:space="preserve">El </w:t>
      </w:r>
      <w:r w:rsidR="00A426E8" w:rsidRPr="00A426E8">
        <w:rPr>
          <w:rFonts w:ascii="Arial" w:hAnsi="Arial" w:cs="Arial"/>
          <w:color w:val="000000" w:themeColor="text1"/>
          <w:lang w:val="es-CO" w:eastAsia="es-CO"/>
        </w:rPr>
        <w:t>s</w:t>
      </w:r>
      <w:r w:rsidR="007E2796" w:rsidRPr="00A426E8">
        <w:rPr>
          <w:rFonts w:ascii="Arial" w:hAnsi="Arial" w:cs="Arial"/>
          <w:color w:val="000000" w:themeColor="text1"/>
          <w:lang w:val="es-CO" w:eastAsia="es-CO"/>
        </w:rPr>
        <w:t>ujeto de crédito y</w:t>
      </w:r>
      <w:r w:rsidR="00426DDC" w:rsidRPr="00A426E8">
        <w:rPr>
          <w:rFonts w:ascii="Arial" w:hAnsi="Arial" w:cs="Arial"/>
          <w:color w:val="000000" w:themeColor="text1"/>
          <w:lang w:val="es-CO" w:eastAsia="es-CO"/>
        </w:rPr>
        <w:t xml:space="preserve">a sea en calidad de deudor principal o deudor solidario, </w:t>
      </w:r>
      <w:r w:rsidRPr="00A426E8">
        <w:rPr>
          <w:rFonts w:ascii="Arial" w:hAnsi="Arial" w:cs="Arial"/>
          <w:color w:val="000000" w:themeColor="text1"/>
          <w:lang w:val="es-CO" w:eastAsia="es-CO"/>
        </w:rPr>
        <w:t xml:space="preserve">deberá diligenciar los formularios de solicitud y anexar la </w:t>
      </w:r>
      <w:r w:rsidR="001D73BE" w:rsidRPr="00A426E8">
        <w:rPr>
          <w:rFonts w:ascii="Arial" w:hAnsi="Arial" w:cs="Arial"/>
          <w:color w:val="000000" w:themeColor="text1"/>
          <w:lang w:val="es-CO" w:eastAsia="es-CO"/>
        </w:rPr>
        <w:t>documentación pertinente,</w:t>
      </w:r>
      <w:r w:rsidRPr="00A426E8">
        <w:rPr>
          <w:rFonts w:ascii="Arial" w:hAnsi="Arial" w:cs="Arial"/>
          <w:color w:val="000000" w:themeColor="text1"/>
          <w:lang w:val="es-CO" w:eastAsia="es-CO"/>
        </w:rPr>
        <w:t xml:space="preserve"> para realizar los análisis financieros, técnicos, societarios, de estructuración </w:t>
      </w:r>
      <w:r w:rsidRPr="00BD54B2">
        <w:rPr>
          <w:rFonts w:ascii="Arial" w:hAnsi="Arial" w:cs="Arial"/>
          <w:lang w:val="es-CO" w:eastAsia="es-CO"/>
        </w:rPr>
        <w:t>del proyecto inmobiliario y cualquier otra información que sea necesaria.</w:t>
      </w:r>
      <w:r w:rsidR="001D73BE" w:rsidRPr="00BD54B2" w:rsidDel="001D73BE">
        <w:rPr>
          <w:rFonts w:ascii="Arial" w:hAnsi="Arial" w:cs="Arial"/>
          <w:lang w:val="es-CO" w:eastAsia="es-CO"/>
        </w:rPr>
        <w:t xml:space="preserve"> </w:t>
      </w:r>
    </w:p>
    <w:p w14:paraId="466F53C0" w14:textId="1E24F879"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Pr="00A426E8">
        <w:rPr>
          <w:rFonts w:ascii="Arial" w:hAnsi="Arial" w:cs="Arial"/>
          <w:color w:val="000000" w:themeColor="text1"/>
          <w:lang w:val="es-CO" w:eastAsia="es-CO"/>
        </w:rPr>
        <w:t>En cuanto a la Estructura del Proyecto Inmobiliario,</w:t>
      </w:r>
      <w:r w:rsidR="00426DDC"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es necesario que el </w:t>
      </w:r>
      <w:r w:rsidR="00ED087D" w:rsidRPr="00A426E8">
        <w:rPr>
          <w:rFonts w:ascii="Arial" w:hAnsi="Arial" w:cs="Arial"/>
          <w:color w:val="000000" w:themeColor="text1"/>
          <w:lang w:val="es-CO" w:eastAsia="es-CO"/>
        </w:rPr>
        <w:t xml:space="preserve">sujeto de </w:t>
      </w:r>
      <w:r w:rsidR="00206C9E" w:rsidRPr="00A426E8">
        <w:rPr>
          <w:rFonts w:ascii="Arial" w:hAnsi="Arial" w:cs="Arial"/>
          <w:color w:val="000000" w:themeColor="text1"/>
          <w:lang w:val="es-CO" w:eastAsia="es-CO"/>
        </w:rPr>
        <w:t>c</w:t>
      </w:r>
      <w:r w:rsidR="00ED087D" w:rsidRPr="00A426E8">
        <w:rPr>
          <w:rFonts w:ascii="Arial" w:hAnsi="Arial" w:cs="Arial"/>
          <w:color w:val="000000" w:themeColor="text1"/>
          <w:lang w:val="es-CO" w:eastAsia="es-CO"/>
        </w:rPr>
        <w:t xml:space="preserve">rédito </w:t>
      </w:r>
      <w:r w:rsidR="00E31B23" w:rsidRPr="00A426E8">
        <w:rPr>
          <w:rFonts w:ascii="Arial" w:hAnsi="Arial" w:cs="Arial"/>
          <w:color w:val="000000" w:themeColor="text1"/>
          <w:lang w:val="es-CO" w:eastAsia="es-CO"/>
        </w:rPr>
        <w:t>solicitante</w:t>
      </w:r>
      <w:r w:rsidRPr="00A426E8">
        <w:rPr>
          <w:rFonts w:ascii="Arial" w:hAnsi="Arial" w:cs="Arial"/>
          <w:color w:val="000000" w:themeColor="text1"/>
          <w:lang w:val="es-CO" w:eastAsia="es-CO"/>
        </w:rPr>
        <w:t xml:space="preserve"> entregue al </w:t>
      </w:r>
      <w:r w:rsidR="009E2CC2" w:rsidRPr="00A426E8">
        <w:rPr>
          <w:rFonts w:ascii="Arial" w:hAnsi="Arial" w:cs="Arial"/>
          <w:color w:val="000000" w:themeColor="text1"/>
          <w:lang w:val="es-CO" w:eastAsia="es-CO"/>
        </w:rPr>
        <w:t xml:space="preserve">Fondo Nacional del Ahorro S.A., </w:t>
      </w:r>
      <w:r w:rsidRPr="00A426E8">
        <w:rPr>
          <w:rFonts w:ascii="Arial" w:hAnsi="Arial" w:cs="Arial"/>
          <w:color w:val="000000" w:themeColor="text1"/>
          <w:lang w:val="es-CO" w:eastAsia="es-CO"/>
        </w:rPr>
        <w:t>el esquema</w:t>
      </w:r>
      <w:r w:rsidR="002E56C7" w:rsidRPr="00A426E8">
        <w:rPr>
          <w:rFonts w:ascii="Arial" w:hAnsi="Arial" w:cs="Arial"/>
          <w:color w:val="000000" w:themeColor="text1"/>
          <w:lang w:val="es-CO" w:eastAsia="es-CO"/>
        </w:rPr>
        <w:t xml:space="preserve"> societario</w:t>
      </w:r>
      <w:r w:rsidR="002E56C7" w:rsidRPr="00BD54B2">
        <w:rPr>
          <w:rFonts w:ascii="Arial" w:hAnsi="Arial" w:cs="Arial"/>
          <w:lang w:val="es-CO" w:eastAsia="es-CO"/>
        </w:rPr>
        <w:t>,</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41EBD22F" w14:textId="77777777" w:rsidR="007E2796" w:rsidRPr="00BD54B2" w:rsidRDefault="007E2796" w:rsidP="00EE5D39">
      <w:pPr>
        <w:pStyle w:val="NormalWeb"/>
        <w:spacing w:before="0" w:beforeAutospacing="0" w:after="160" w:afterAutospacing="0" w:line="256" w:lineRule="auto"/>
        <w:jc w:val="both"/>
        <w:rPr>
          <w:rFonts w:ascii="Arial" w:hAnsi="Arial" w:cs="Arial"/>
          <w:lang w:val="es-CO" w:eastAsia="es-CO"/>
        </w:rPr>
      </w:pP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lastRenderedPageBreak/>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3D629732"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w:t>
      </w:r>
      <w:r w:rsidR="003B4FC8" w:rsidRPr="00A426E8">
        <w:rPr>
          <w:rFonts w:ascii="Arial" w:hAnsi="Arial" w:cs="Arial"/>
          <w:color w:val="000000" w:themeColor="text1"/>
          <w:lang w:val="es-CO" w:eastAsia="es-CO"/>
        </w:rPr>
        <w:t xml:space="preserve">sujeto de crédito </w:t>
      </w:r>
      <w:r w:rsidR="000B1114" w:rsidRPr="00A426E8">
        <w:rPr>
          <w:rFonts w:ascii="Arial" w:hAnsi="Arial" w:cs="Arial"/>
          <w:color w:val="000000" w:themeColor="text1"/>
          <w:lang w:val="es-CO" w:eastAsia="es-CO"/>
        </w:rPr>
        <w:t xml:space="preserve">deberá </w:t>
      </w:r>
      <w:r w:rsidR="000B1114" w:rsidRPr="00BD54B2">
        <w:rPr>
          <w:rFonts w:ascii="Arial" w:hAnsi="Arial" w:cs="Arial"/>
          <w:lang w:val="es-CO" w:eastAsia="es-CO"/>
        </w:rPr>
        <w:t xml:space="preserve">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3ACE2D53" w:rsidR="00575682" w:rsidRPr="00BD54B2" w:rsidRDefault="00575682" w:rsidP="00575682">
      <w:pPr>
        <w:jc w:val="both"/>
      </w:pPr>
      <w:r w:rsidRPr="00BD54B2">
        <w:rPr>
          <w:rFonts w:ascii="Arial" w:hAnsi="Arial" w:cs="Arial"/>
        </w:rPr>
        <w:t xml:space="preserve">El </w:t>
      </w:r>
      <w:r w:rsidR="00A426E8" w:rsidRPr="00A426E8">
        <w:rPr>
          <w:rFonts w:ascii="Arial" w:hAnsi="Arial" w:cs="Arial"/>
          <w:color w:val="000000" w:themeColor="text1"/>
        </w:rPr>
        <w:t>s</w:t>
      </w:r>
      <w:r w:rsidR="007E2796" w:rsidRPr="00A426E8">
        <w:rPr>
          <w:rFonts w:ascii="Arial" w:hAnsi="Arial" w:cs="Arial"/>
          <w:color w:val="000000" w:themeColor="text1"/>
        </w:rPr>
        <w:t xml:space="preserve">ujeto de crédito </w:t>
      </w:r>
      <w:r w:rsidRPr="00A426E8">
        <w:rPr>
          <w:rFonts w:ascii="Arial" w:hAnsi="Arial" w:cs="Arial"/>
          <w:color w:val="000000" w:themeColor="text1"/>
        </w:rPr>
        <w:t xml:space="preserve">podrá </w:t>
      </w:r>
      <w:r w:rsidRPr="00BD54B2">
        <w:rPr>
          <w:rFonts w:ascii="Arial" w:hAnsi="Arial" w:cs="Arial"/>
        </w:rPr>
        <w:t xml:space="preserve">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2"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728B483A"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A426E8">
        <w:rPr>
          <w:rFonts w:ascii="Arial" w:hAnsi="Arial" w:cs="Arial"/>
          <w:color w:val="000000" w:themeColor="text1"/>
          <w:lang w:val="es-CO" w:eastAsia="es-CO"/>
        </w:rPr>
        <w:t xml:space="preserve">sujetos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8131A8B"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A426E8">
        <w:rPr>
          <w:rFonts w:ascii="Arial" w:hAnsi="Arial" w:cs="Arial"/>
          <w:color w:val="000000" w:themeColor="text1"/>
          <w:lang w:val="es-CO" w:eastAsia="es-CO"/>
        </w:rPr>
        <w:t xml:space="preserve">Los </w:t>
      </w:r>
      <w:r w:rsidR="003B4FC8" w:rsidRPr="00A426E8">
        <w:rPr>
          <w:rFonts w:ascii="Arial" w:hAnsi="Arial" w:cs="Arial"/>
          <w:color w:val="000000" w:themeColor="text1"/>
          <w:lang w:val="es-CO" w:eastAsia="es-CO"/>
        </w:rPr>
        <w:t xml:space="preserve">sujetos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créditos 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A86D593"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 xml:space="preserve">El </w:t>
      </w:r>
      <w:r w:rsidRPr="003B4FC8">
        <w:rPr>
          <w:rFonts w:ascii="Arial" w:hAnsi="Arial" w:cs="Arial"/>
          <w:color w:val="EE0000"/>
          <w:lang w:val="es-CO" w:eastAsia="es-CO"/>
        </w:rPr>
        <w:t xml:space="preserve"> </w:t>
      </w:r>
      <w:r w:rsidR="003B4FC8" w:rsidRPr="00A426E8">
        <w:rPr>
          <w:rFonts w:ascii="Arial" w:hAnsi="Arial" w:cs="Arial"/>
          <w:color w:val="000000" w:themeColor="text1"/>
          <w:lang w:val="es-CO" w:eastAsia="es-CO"/>
        </w:rPr>
        <w:t xml:space="preserve">sujeto de </w:t>
      </w:r>
      <w:r w:rsidR="006A463D" w:rsidRPr="00A426E8">
        <w:rPr>
          <w:rFonts w:ascii="Arial" w:hAnsi="Arial" w:cs="Arial"/>
          <w:color w:val="000000" w:themeColor="text1"/>
          <w:lang w:val="es-CO" w:eastAsia="es-CO"/>
        </w:rPr>
        <w:t>crédito</w:t>
      </w:r>
      <w:r w:rsidR="003B4FC8"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puede </w:t>
      </w:r>
      <w:r w:rsidRPr="00BD54B2">
        <w:rPr>
          <w:rFonts w:ascii="Arial" w:hAnsi="Arial" w:cs="Arial"/>
          <w:lang w:val="es-CO" w:eastAsia="es-CO"/>
        </w:rPr>
        <w:t>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47AEBE4C"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D10F52">
        <w:rPr>
          <w:rFonts w:ascii="Arial" w:hAnsi="Arial" w:cs="Arial"/>
          <w:color w:val="000000" w:themeColor="text1"/>
          <w:lang w:val="es-CO" w:eastAsia="es-CO"/>
        </w:rPr>
        <w:t xml:space="preserve">sujeto de crédito </w:t>
      </w:r>
      <w:r w:rsidRPr="00BD54B2">
        <w:rPr>
          <w:rFonts w:ascii="Arial" w:hAnsi="Arial" w:cs="Arial"/>
          <w:lang w:val="es-CO" w:eastAsia="es-CO"/>
        </w:rPr>
        <w:t>(fecha máxima de pago), generando la liquidación a la UVR proyectada a dicha fecha o al valor en pesos de la prorrata.</w:t>
      </w:r>
    </w:p>
    <w:p w14:paraId="70F562E8" w14:textId="20C6CCF7"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w:t>
      </w:r>
      <w:r w:rsidRPr="00D10F52">
        <w:rPr>
          <w:rFonts w:ascii="Arial" w:hAnsi="Arial" w:cs="Arial"/>
          <w:color w:val="000000" w:themeColor="text1"/>
          <w:lang w:val="es-CO" w:eastAsia="es-CO"/>
        </w:rPr>
        <w:t xml:space="preserve">que el </w:t>
      </w:r>
      <w:r w:rsidR="003B4FC8" w:rsidRPr="00D10F52">
        <w:rPr>
          <w:rFonts w:ascii="Arial" w:hAnsi="Arial" w:cs="Arial"/>
          <w:color w:val="000000" w:themeColor="text1"/>
          <w:lang w:val="es-CO" w:eastAsia="es-CO"/>
        </w:rPr>
        <w:t xml:space="preserve">sujeto de </w:t>
      </w:r>
      <w:r w:rsidR="00571B2C"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 xml:space="preserve">no </w:t>
      </w:r>
      <w:r w:rsidRPr="00BD54B2">
        <w:rPr>
          <w:rFonts w:ascii="Arial" w:hAnsi="Arial" w:cs="Arial"/>
          <w:lang w:val="es-CO" w:eastAsia="es-CO"/>
        </w:rPr>
        <w:t xml:space="preserve">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16669B74" w:rsidR="00EE5D39" w:rsidRPr="00D10F52" w:rsidRDefault="00EE5D39" w:rsidP="00EE5D39">
      <w:pPr>
        <w:pStyle w:val="NormalWeb"/>
        <w:spacing w:after="160" w:line="254" w:lineRule="auto"/>
        <w:jc w:val="both"/>
        <w:rPr>
          <w:rFonts w:ascii="Arial" w:hAnsi="Arial" w:cs="Arial"/>
          <w:color w:val="000000" w:themeColor="text1"/>
          <w:lang w:val="es-CO" w:eastAsia="es-CO"/>
        </w:rPr>
      </w:pPr>
      <w:bookmarkStart w:id="763" w:name="_Hlk192603860"/>
      <w:r w:rsidRPr="00BD54B2">
        <w:rPr>
          <w:rFonts w:ascii="Arial" w:hAnsi="Arial" w:cs="Arial"/>
          <w:b/>
          <w:bCs/>
          <w:lang w:val="es-CO" w:eastAsia="es-CO"/>
        </w:rPr>
        <w:lastRenderedPageBreak/>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w:t>
      </w:r>
      <w:r w:rsidRPr="00D10F52">
        <w:rPr>
          <w:rFonts w:ascii="Arial" w:hAnsi="Arial" w:cs="Arial"/>
          <w:color w:val="000000" w:themeColor="text1"/>
          <w:lang w:val="es-CO" w:eastAsia="es-CO"/>
        </w:rPr>
        <w:t xml:space="preserve">el </w:t>
      </w:r>
      <w:r w:rsidR="003B4FC8" w:rsidRPr="00D10F52">
        <w:rPr>
          <w:rFonts w:ascii="Arial" w:hAnsi="Arial" w:cs="Arial"/>
          <w:color w:val="000000" w:themeColor="text1"/>
          <w:lang w:val="es-CO" w:eastAsia="es-CO"/>
        </w:rPr>
        <w:t xml:space="preserve">sujeto de </w:t>
      </w:r>
      <w:r w:rsidR="00C5208E"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previo a la liberación del inmueble.</w:t>
      </w:r>
    </w:p>
    <w:bookmarkEnd w:id="763"/>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4"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bookmarkStart w:id="765" w:name="_Hlk192604143"/>
      <w:bookmarkEnd w:id="764"/>
      <w:r w:rsidRPr="00BD54B2">
        <w:rPr>
          <w:rFonts w:ascii="Arial" w:hAnsi="Arial" w:cs="Arial"/>
          <w:lang w:val="es-CO" w:eastAsia="es-CO"/>
        </w:rPr>
        <w:t>•Expiración de la vigencia de aprobación del Crédito</w:t>
      </w:r>
      <w:r w:rsidRPr="00347283">
        <w:rPr>
          <w:rFonts w:ascii="Arial" w:hAnsi="Arial" w:cs="Arial"/>
          <w:color w:val="000000" w:themeColor="text1"/>
          <w:lang w:val="es-CO" w:eastAsia="es-CO"/>
        </w:rPr>
        <w:t xml:space="preserve">. </w:t>
      </w:r>
    </w:p>
    <w:p w14:paraId="1397F6B1" w14:textId="31E1F974"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•Mora en las obligaciones con el </w:t>
      </w:r>
      <w:r w:rsidR="009E2CC2" w:rsidRPr="00347283">
        <w:rPr>
          <w:rFonts w:ascii="Arial" w:hAnsi="Arial" w:cs="Arial"/>
          <w:color w:val="000000" w:themeColor="text1"/>
          <w:lang w:val="es-CO" w:eastAsia="es-CO"/>
        </w:rPr>
        <w:t>Fondo Nacional del Ahorro S.A.</w:t>
      </w:r>
    </w:p>
    <w:p w14:paraId="47DFA723" w14:textId="70B608FA"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•Deterioro de la capacidad de pago y/o calificación de Riesgo del </w:t>
      </w:r>
      <w:r w:rsidR="003B4FC8"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003B4FC8" w:rsidRPr="00347283">
        <w:rPr>
          <w:rFonts w:ascii="Arial" w:hAnsi="Arial" w:cs="Arial"/>
          <w:color w:val="000000" w:themeColor="text1"/>
          <w:lang w:val="es-CO" w:eastAsia="es-CO"/>
        </w:rPr>
        <w:t xml:space="preserve"> y/o deudor solidario</w:t>
      </w:r>
      <w:r w:rsidR="00C83E01" w:rsidRPr="00347283">
        <w:rPr>
          <w:rFonts w:ascii="Arial" w:hAnsi="Arial" w:cs="Arial"/>
          <w:color w:val="000000" w:themeColor="text1"/>
          <w:lang w:val="es-CO" w:eastAsia="es-CO"/>
        </w:rPr>
        <w:t>.</w:t>
      </w:r>
      <w:r w:rsidRPr="00347283">
        <w:rPr>
          <w:rFonts w:ascii="Arial" w:hAnsi="Arial" w:cs="Arial"/>
          <w:color w:val="000000" w:themeColor="text1"/>
          <w:lang w:val="es-CO" w:eastAsia="es-CO"/>
        </w:rPr>
        <w:t xml:space="preserve"> </w:t>
      </w:r>
    </w:p>
    <w:p w14:paraId="30276E25" w14:textId="5BB048E9"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•Resultados del ejercicio financiero del proyecto y/o del </w:t>
      </w:r>
      <w:r w:rsidR="00C83E01"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Pr="00347283">
        <w:rPr>
          <w:rFonts w:ascii="Arial" w:hAnsi="Arial" w:cs="Arial"/>
          <w:color w:val="000000" w:themeColor="text1"/>
          <w:lang w:val="es-CO" w:eastAsia="es-CO"/>
        </w:rPr>
        <w:t>.</w:t>
      </w:r>
    </w:p>
    <w:p w14:paraId="223A38E1" w14:textId="77777777"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•Cuando alguno de los responsables del Crédito, Deudor, Avalistas, Codeudores o Socios</w:t>
      </w:r>
      <w:r w:rsidR="00B227CA" w:rsidRPr="00347283">
        <w:rPr>
          <w:rFonts w:ascii="Arial" w:hAnsi="Arial" w:cs="Arial"/>
          <w:color w:val="000000" w:themeColor="text1"/>
          <w:lang w:val="es-CO" w:eastAsia="es-CO"/>
        </w:rPr>
        <w:t xml:space="preserve">, sin importar el porcentaje de participación </w:t>
      </w:r>
      <w:r w:rsidRPr="00347283">
        <w:rPr>
          <w:rFonts w:ascii="Arial" w:hAnsi="Arial" w:cs="Arial"/>
          <w:color w:val="000000" w:themeColor="text1"/>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347283">
        <w:rPr>
          <w:rFonts w:ascii="Arial" w:hAnsi="Arial" w:cs="Arial"/>
          <w:color w:val="000000" w:themeColor="text1"/>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5"/>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6"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6"/>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BD54B2">
        <w:rPr>
          <w:rFonts w:ascii="Arial" w:hAnsi="Arial" w:cs="Arial"/>
          <w:szCs w:val="24"/>
          <w:u w:val="none"/>
        </w:rPr>
        <w:t xml:space="preserve">Condiciones </w:t>
      </w:r>
      <w:bookmarkEnd w:id="767"/>
      <w:bookmarkEnd w:id="768"/>
      <w:bookmarkEnd w:id="769"/>
      <w:bookmarkEnd w:id="770"/>
      <w:bookmarkEnd w:id="771"/>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603B6D2B"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347283">
        <w:rPr>
          <w:rFonts w:ascii="Arial" w:hAnsi="Arial" w:cs="Arial"/>
          <w:color w:val="000000" w:themeColor="text1"/>
          <w:lang w:val="es-CO" w:eastAsia="es-CO"/>
        </w:rPr>
        <w:t xml:space="preserve">Documento </w:t>
      </w:r>
      <w:r w:rsidRPr="00347283">
        <w:rPr>
          <w:rFonts w:ascii="Arial" w:hAnsi="Arial" w:cs="Arial"/>
          <w:color w:val="000000" w:themeColor="text1"/>
          <w:lang w:val="es-CO" w:eastAsia="es-CO"/>
        </w:rPr>
        <w:t xml:space="preserve">de </w:t>
      </w:r>
      <w:r w:rsidRPr="00BD54B2">
        <w:rPr>
          <w:rFonts w:ascii="Arial" w:hAnsi="Arial" w:cs="Arial"/>
          <w:lang w:val="es-CO" w:eastAsia="es-CO"/>
        </w:rPr>
        <w:t xml:space="preserve">Condiciones Financieras, en </w:t>
      </w:r>
      <w:r w:rsidRPr="00BD54B2">
        <w:rPr>
          <w:rFonts w:ascii="Arial" w:hAnsi="Arial" w:cs="Arial"/>
          <w:lang w:val="es-CO" w:eastAsia="es-CO"/>
        </w:rPr>
        <w:lastRenderedPageBreak/>
        <w:t>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2"/>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3"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 xml:space="preserve">Igual o Superior a </w:t>
            </w:r>
            <w:r w:rsidRPr="00BD54B2">
              <w:rPr>
                <w:rFonts w:ascii="Arial" w:hAnsi="Arial" w:cs="Arial"/>
                <w:sz w:val="16"/>
                <w:szCs w:val="16"/>
                <w:lang w:eastAsia="es-CO"/>
              </w:rPr>
              <w:lastRenderedPageBreak/>
              <w:t>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 xml:space="preserve">Entre 30.001 y </w:t>
            </w:r>
            <w:r w:rsidRPr="00BD54B2">
              <w:rPr>
                <w:rFonts w:ascii="Arial" w:hAnsi="Arial" w:cs="Arial"/>
                <w:sz w:val="16"/>
                <w:szCs w:val="16"/>
                <w:lang w:eastAsia="es-CO"/>
              </w:rPr>
              <w:lastRenderedPageBreak/>
              <w:t>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 xml:space="preserve">Entre 20.001 y </w:t>
            </w:r>
            <w:r w:rsidRPr="00BD54B2">
              <w:rPr>
                <w:rFonts w:ascii="Arial" w:hAnsi="Arial" w:cs="Arial"/>
                <w:sz w:val="16"/>
                <w:szCs w:val="16"/>
                <w:lang w:eastAsia="es-CO"/>
              </w:rPr>
              <w:lastRenderedPageBreak/>
              <w:t>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3"/>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2E248792"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lastRenderedPageBreak/>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FA7ECB">
        <w:rPr>
          <w:rFonts w:ascii="Arial" w:hAnsi="Arial" w:cs="Arial"/>
          <w:color w:val="000000" w:themeColor="text1"/>
        </w:rPr>
        <w:t>sujeto de crédito</w:t>
      </w:r>
      <w:r w:rsidRPr="00FA7ECB">
        <w:rPr>
          <w:rFonts w:ascii="Arial" w:hAnsi="Arial" w:cs="Arial"/>
          <w:color w:val="000000" w:themeColor="text1"/>
        </w:rPr>
        <w:t xml:space="preserve">, incluso si son requeridas o solicitadas por el </w:t>
      </w:r>
      <w:r w:rsidR="009E2CC2" w:rsidRPr="00FA7ECB">
        <w:rPr>
          <w:rFonts w:ascii="Arial" w:hAnsi="Arial" w:cs="Arial"/>
          <w:color w:val="000000" w:themeColor="text1"/>
        </w:rPr>
        <w:t>Fondo Nacional del</w:t>
      </w:r>
      <w:r w:rsidR="009E2CC2" w:rsidRPr="00BD54B2">
        <w:rPr>
          <w:rFonts w:ascii="Arial" w:hAnsi="Arial" w:cs="Arial"/>
        </w:rPr>
        <w:t xml:space="preserve">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6EDDA74" w:rsidR="00846C33" w:rsidRPr="00FA7ECB" w:rsidRDefault="00846C33" w:rsidP="00846C33">
      <w:pPr>
        <w:pStyle w:val="NormalWeb"/>
        <w:tabs>
          <w:tab w:val="left" w:pos="284"/>
        </w:tabs>
        <w:jc w:val="both"/>
        <w:rPr>
          <w:rFonts w:ascii="Arial" w:hAnsi="Arial" w:cs="Arial"/>
          <w:color w:val="000000" w:themeColor="text1"/>
        </w:rPr>
      </w:pPr>
      <w:r w:rsidRPr="00BD54B2">
        <w:rPr>
          <w:rFonts w:ascii="Arial" w:hAnsi="Arial" w:cs="Arial"/>
        </w:rPr>
        <w:t xml:space="preserve">Si la </w:t>
      </w:r>
      <w:r w:rsidRPr="00FA7ECB">
        <w:rPr>
          <w:rFonts w:ascii="Arial" w:hAnsi="Arial" w:cs="Arial"/>
          <w:color w:val="000000" w:themeColor="text1"/>
        </w:rPr>
        <w:t xml:space="preserve">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w:t>
      </w:r>
      <w:r w:rsidR="003108AF" w:rsidRPr="00FA7ECB">
        <w:rPr>
          <w:rFonts w:ascii="Arial" w:hAnsi="Arial" w:cs="Arial"/>
          <w:color w:val="000000" w:themeColor="text1"/>
        </w:rPr>
        <w:t>sujeto de crédito.</w:t>
      </w:r>
    </w:p>
    <w:p w14:paraId="5BF9F216" w14:textId="25C62BCB" w:rsidR="005E3221" w:rsidRDefault="00804916" w:rsidP="005E3221">
      <w:pPr>
        <w:pStyle w:val="NormalWeb"/>
        <w:tabs>
          <w:tab w:val="left" w:pos="284"/>
        </w:tabs>
        <w:jc w:val="both"/>
        <w:rPr>
          <w:rFonts w:ascii="Arial" w:hAnsi="Arial" w:cs="Arial"/>
          <w:lang w:val="es-CO" w:eastAsia="es-CO"/>
        </w:rPr>
      </w:pPr>
      <w:r w:rsidRPr="00FA7ECB">
        <w:rPr>
          <w:rFonts w:ascii="Arial" w:hAnsi="Arial" w:cs="Arial"/>
          <w:color w:val="000000" w:themeColor="text1"/>
          <w:lang w:val="es-CO" w:eastAsia="es-CO"/>
        </w:rPr>
        <w:t>L</w:t>
      </w:r>
      <w:r w:rsidR="003108AF" w:rsidRPr="00FA7ECB">
        <w:rPr>
          <w:rFonts w:ascii="Arial" w:hAnsi="Arial" w:cs="Arial"/>
          <w:color w:val="000000" w:themeColor="text1"/>
          <w:lang w:val="es-CO" w:eastAsia="es-CO"/>
        </w:rPr>
        <w:t xml:space="preserve">a valla publicitaria, la </w:t>
      </w:r>
      <w:r w:rsidR="00882917" w:rsidRPr="00FA7ECB">
        <w:rPr>
          <w:rFonts w:ascii="Arial" w:hAnsi="Arial" w:cs="Arial"/>
          <w:color w:val="000000" w:themeColor="text1"/>
          <w:lang w:val="es-CO" w:eastAsia="es-CO"/>
        </w:rPr>
        <w:t xml:space="preserve">podrá </w:t>
      </w:r>
      <w:r w:rsidR="00A62AF6" w:rsidRPr="00FA7ECB">
        <w:rPr>
          <w:rFonts w:ascii="Arial" w:hAnsi="Arial" w:cs="Arial"/>
          <w:color w:val="000000" w:themeColor="text1"/>
          <w:lang w:val="es-CO" w:eastAsia="es-CO"/>
        </w:rPr>
        <w:t>instalar</w:t>
      </w:r>
      <w:r w:rsidR="00FA7ECB" w:rsidRPr="00FA7ECB">
        <w:rPr>
          <w:rFonts w:ascii="Arial" w:hAnsi="Arial" w:cs="Arial"/>
          <w:color w:val="000000" w:themeColor="text1"/>
          <w:lang w:val="es-CO" w:eastAsia="es-CO"/>
        </w:rPr>
        <w:t xml:space="preserve"> </w:t>
      </w:r>
      <w:r w:rsidRPr="00FA7ECB">
        <w:rPr>
          <w:rFonts w:ascii="Arial" w:hAnsi="Arial" w:cs="Arial"/>
          <w:color w:val="000000" w:themeColor="text1"/>
          <w:lang w:val="es-CO" w:eastAsia="es-CO"/>
        </w:rPr>
        <w:t xml:space="preserve">el </w:t>
      </w:r>
      <w:r w:rsidR="003108AF" w:rsidRPr="00FA7ECB">
        <w:rPr>
          <w:rFonts w:ascii="Arial" w:hAnsi="Arial" w:cs="Arial"/>
          <w:color w:val="000000" w:themeColor="text1"/>
          <w:lang w:val="es-CO" w:eastAsia="es-CO"/>
        </w:rPr>
        <w:t xml:space="preserve">sujeto de crédito </w:t>
      </w:r>
      <w:r w:rsidR="00882917" w:rsidRPr="00FA7ECB">
        <w:rPr>
          <w:rFonts w:ascii="Arial" w:hAnsi="Arial" w:cs="Arial"/>
          <w:color w:val="000000" w:themeColor="text1"/>
          <w:lang w:val="es-CO" w:eastAsia="es-CO"/>
        </w:rPr>
        <w:t>una vez cuente con concepto favorable del estudio de títulos realizado por el Fondo Nacional del Ahorro S.A</w:t>
      </w:r>
      <w:r w:rsidR="0045076E" w:rsidRPr="00FA7ECB">
        <w:rPr>
          <w:rFonts w:ascii="Arial" w:hAnsi="Arial" w:cs="Arial"/>
          <w:color w:val="000000" w:themeColor="text1"/>
          <w:lang w:val="es-CO" w:eastAsia="es-CO"/>
        </w:rPr>
        <w:t>.</w:t>
      </w:r>
      <w:r w:rsidR="00CF1299"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w:t>
      </w:r>
      <w:r w:rsidR="00CF1299" w:rsidRPr="00FA7ECB">
        <w:rPr>
          <w:rFonts w:ascii="Arial" w:hAnsi="Arial" w:cs="Arial"/>
          <w:color w:val="000000" w:themeColor="text1"/>
          <w:lang w:val="es-CO" w:eastAsia="es-CO"/>
        </w:rPr>
        <w:t>p</w:t>
      </w:r>
      <w:r w:rsidR="00882917" w:rsidRPr="00FA7ECB">
        <w:rPr>
          <w:rFonts w:ascii="Arial" w:hAnsi="Arial" w:cs="Arial"/>
          <w:color w:val="000000" w:themeColor="text1"/>
          <w:lang w:val="es-CO" w:eastAsia="es-CO"/>
        </w:rPr>
        <w:t xml:space="preserve">ara la elaboración y ubicación de la </w:t>
      </w:r>
      <w:r w:rsidR="00A62AF6" w:rsidRPr="00FA7ECB">
        <w:rPr>
          <w:rFonts w:ascii="Arial" w:hAnsi="Arial" w:cs="Arial"/>
          <w:color w:val="000000" w:themeColor="text1"/>
          <w:lang w:val="es-CO" w:eastAsia="es-CO"/>
        </w:rPr>
        <w:t>misma</w:t>
      </w:r>
      <w:r w:rsidR="00FA7ECB"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el </w:t>
      </w:r>
      <w:r w:rsidR="00CF1299" w:rsidRPr="00FA7ECB">
        <w:rPr>
          <w:rFonts w:ascii="Arial" w:hAnsi="Arial" w:cs="Arial"/>
          <w:color w:val="000000" w:themeColor="text1"/>
          <w:lang w:val="es-CO" w:eastAsia="es-CO"/>
        </w:rPr>
        <w:t>c</w:t>
      </w:r>
      <w:r w:rsidR="00882917" w:rsidRPr="00FA7ECB">
        <w:rPr>
          <w:rFonts w:ascii="Arial" w:hAnsi="Arial" w:cs="Arial"/>
          <w:color w:val="000000" w:themeColor="text1"/>
          <w:lang w:val="es-CO" w:eastAsia="es-CO"/>
        </w:rPr>
        <w:t xml:space="preserve">liente deberá tener en cuenta que el </w:t>
      </w:r>
      <w:r w:rsidR="00BA2A1E" w:rsidRPr="00FA7ECB">
        <w:rPr>
          <w:rFonts w:ascii="Arial" w:hAnsi="Arial" w:cs="Arial"/>
          <w:color w:val="000000" w:themeColor="text1"/>
          <w:lang w:val="es-CO" w:eastAsia="es-CO"/>
        </w:rPr>
        <w:t>logo será</w:t>
      </w:r>
      <w:r w:rsidR="00882917" w:rsidRPr="00FA7ECB">
        <w:rPr>
          <w:rFonts w:ascii="Arial" w:hAnsi="Arial" w:cs="Arial"/>
          <w:color w:val="000000" w:themeColor="text1"/>
          <w:lang w:val="es-CO" w:eastAsia="es-CO"/>
        </w:rPr>
        <w:t xml:space="preserve"> suministrado por el financiador</w:t>
      </w:r>
      <w:bookmarkStart w:id="774" w:name="_Hlk144798826"/>
      <w:r w:rsidR="00CF1299" w:rsidRPr="00BD54B2">
        <w:rPr>
          <w:rFonts w:ascii="Arial" w:hAnsi="Arial" w:cs="Arial"/>
          <w:lang w:val="es-CO" w:eastAsia="es-CO"/>
        </w:rPr>
        <w:t>.</w:t>
      </w:r>
    </w:p>
    <w:p w14:paraId="01109239" w14:textId="730D123C" w:rsidR="005E3221" w:rsidRPr="00E80106" w:rsidRDefault="005E3221" w:rsidP="00E80106">
      <w:pPr>
        <w:pStyle w:val="Prrafodelista"/>
        <w:numPr>
          <w:ilvl w:val="1"/>
          <w:numId w:val="22"/>
        </w:numPr>
        <w:spacing w:before="100" w:beforeAutospacing="1" w:after="100" w:afterAutospacing="1"/>
        <w:rPr>
          <w:b/>
          <w:bCs/>
          <w:lang w:val="es-ES"/>
        </w:rPr>
      </w:pPr>
      <w:r w:rsidRPr="00E80106">
        <w:rPr>
          <w:b/>
          <w:bCs/>
          <w:lang w:val="es-ES"/>
        </w:rPr>
        <w:t>CONSTITUCIÓN DE POLIZAS</w:t>
      </w:r>
    </w:p>
    <w:p w14:paraId="1979DC81" w14:textId="77777777" w:rsidR="00E80106" w:rsidRPr="00E80106" w:rsidRDefault="00E80106" w:rsidP="00E80106">
      <w:pPr>
        <w:pStyle w:val="Prrafodelista"/>
        <w:spacing w:before="100" w:beforeAutospacing="1" w:after="100" w:afterAutospacing="1"/>
        <w:ind w:left="435"/>
        <w:rPr>
          <w:b/>
          <w:bCs/>
          <w:lang w:val="es-ES"/>
        </w:rPr>
      </w:pP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lastRenderedPageBreak/>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 xml:space="preserve">Riesgos de la naturaleza como erupción volcánica, terremoto, maremoto, temblor de tierra y cualquier otra convulsión de la naturaleza como fuego </w:t>
      </w:r>
      <w:r w:rsidRPr="00BD54B2">
        <w:rPr>
          <w:rFonts w:ascii="Arial" w:hAnsi="Arial" w:cs="Arial"/>
          <w:lang w:val="es-ES"/>
        </w:rPr>
        <w:lastRenderedPageBreak/>
        <w:t>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lastRenderedPageBreak/>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concordancia con lo anterior, el Fondo Nacional del Ahorro S.A., validara el cumplimiento de la misma,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4"/>
    </w:p>
    <w:p w14:paraId="3CF8E346" w14:textId="6F4D38CC" w:rsidR="00E80106" w:rsidRPr="0011150C" w:rsidRDefault="00E80106" w:rsidP="008C63CA">
      <w:pPr>
        <w:spacing w:before="100" w:beforeAutospacing="1" w:after="100" w:afterAutospacing="1"/>
        <w:jc w:val="both"/>
        <w:rPr>
          <w:rFonts w:ascii="Arial" w:hAnsi="Arial" w:cs="Arial"/>
          <w:b/>
          <w:bCs/>
        </w:rPr>
      </w:pPr>
      <w:r w:rsidRPr="0011150C">
        <w:rPr>
          <w:rFonts w:ascii="Arial" w:hAnsi="Arial" w:cs="Arial"/>
          <w:b/>
          <w:bCs/>
        </w:rPr>
        <w:t>5.9.5</w:t>
      </w:r>
      <w:r w:rsidRPr="0011150C">
        <w:rPr>
          <w:rFonts w:ascii="Arial" w:hAnsi="Arial" w:cs="Arial"/>
          <w:b/>
          <w:bCs/>
        </w:rPr>
        <w:t> </w:t>
      </w:r>
      <w:r w:rsidRPr="0011150C">
        <w:rPr>
          <w:rFonts w:ascii="Arial" w:hAnsi="Arial" w:cs="Arial"/>
          <w:b/>
          <w:bCs/>
        </w:rPr>
        <w:t> </w:t>
      </w:r>
      <w:r w:rsidRPr="0011150C">
        <w:rPr>
          <w:rFonts w:ascii="Arial" w:hAnsi="Arial" w:cs="Arial"/>
          <w:b/>
          <w:bCs/>
        </w:rPr>
        <w:t xml:space="preserve">Patrimonios </w:t>
      </w:r>
      <w:r w:rsidR="005E718F">
        <w:rPr>
          <w:rFonts w:ascii="Arial" w:hAnsi="Arial" w:cs="Arial"/>
          <w:b/>
          <w:bCs/>
        </w:rPr>
        <w:t>A</w:t>
      </w:r>
      <w:r w:rsidRPr="0011150C">
        <w:rPr>
          <w:rFonts w:ascii="Arial" w:hAnsi="Arial" w:cs="Arial"/>
          <w:b/>
          <w:bCs/>
        </w:rPr>
        <w:t>utónomos.</w:t>
      </w:r>
    </w:p>
    <w:p w14:paraId="069FB407" w14:textId="7783FAEB" w:rsidR="00E80106" w:rsidRPr="0011150C" w:rsidRDefault="00B2533C" w:rsidP="008C63CA">
      <w:pPr>
        <w:spacing w:before="100" w:beforeAutospacing="1" w:after="100" w:afterAutospacing="1"/>
        <w:jc w:val="both"/>
        <w:rPr>
          <w:rFonts w:ascii="Arial" w:hAnsi="Arial" w:cs="Arial"/>
        </w:rPr>
      </w:pPr>
      <w:r w:rsidRPr="00B2533C">
        <w:rPr>
          <w:rFonts w:ascii="Arial" w:hAnsi="Arial" w:cs="Arial"/>
        </w:rPr>
        <w:t>La estructura que deberán tener las pólizas en lo que concierne a ostentar la calidad de tomador, asegurado y beneficiario, quedara establecida de la siguiente forma</w:t>
      </w:r>
      <w:r w:rsidR="00E80106" w:rsidRPr="0011150C">
        <w:rPr>
          <w:rFonts w:ascii="Arial" w:hAnsi="Arial" w:cs="Arial"/>
        </w:rPr>
        <w:t>:</w:t>
      </w:r>
    </w:p>
    <w:p w14:paraId="110387AD" w14:textId="77777777" w:rsidR="00E80106" w:rsidRPr="0011150C" w:rsidRDefault="00E80106" w:rsidP="008C63CA">
      <w:pPr>
        <w:spacing w:before="100" w:beforeAutospacing="1" w:after="100" w:afterAutospacing="1"/>
        <w:jc w:val="both"/>
        <w:rPr>
          <w:rFonts w:ascii="Arial" w:hAnsi="Arial" w:cs="Arial"/>
        </w:rPr>
      </w:pPr>
      <w:r w:rsidRPr="0011150C">
        <w:rPr>
          <w:rFonts w:ascii="Arial" w:hAnsi="Arial" w:cs="Arial"/>
        </w:rPr>
        <w:t>Para la póliza todo riesgo construcción y póliza todo riesgo daño material indicadas en el numeral 5.9.2.y 5.9.3 de este capítulo, el tomador del seguro será la fiduciaria en su calidad de administradora del patrimonio autónomo y/o la constructora a ejecutar el proyecto constructivo; el Asegurado será la constructora y/o fideicomitente y el beneficiario hasta el límite de sus acreencias será el Fondo Nacional del Ahorro S.A.</w:t>
      </w:r>
    </w:p>
    <w:p w14:paraId="35EF1DCA" w14:textId="447FDB48" w:rsidR="00E80106" w:rsidRPr="0011150C" w:rsidRDefault="00E80106" w:rsidP="008C63CA">
      <w:pPr>
        <w:spacing w:before="100" w:beforeAutospacing="1" w:after="100" w:afterAutospacing="1"/>
        <w:jc w:val="both"/>
        <w:rPr>
          <w:rFonts w:ascii="Arial" w:hAnsi="Arial" w:cs="Arial"/>
          <w:lang w:val="es-ES"/>
        </w:rPr>
      </w:pPr>
      <w:r w:rsidRPr="0011150C">
        <w:rPr>
          <w:rFonts w:ascii="Arial" w:hAnsi="Arial" w:cs="Arial"/>
        </w:rPr>
        <w:t>Respecto de la promesa de seguro decenal y/o póliza de Seguro Decenal indicadas en el numeral 5.9.4 de este capítulo, el tomador será la fiduciaria en su calidad de administradora del patrimonio autónomo y/o la constructora a ejecutar el proyecto constructivo, y como asegurados y beneficiarios quienes ostenten la calidad de propietarios al momento de la ocurrencia del siniestro dentro del término de vigencia de la obligación.</w:t>
      </w:r>
    </w:p>
    <w:p w14:paraId="33926A39" w14:textId="77777777" w:rsidR="00FA7ECB" w:rsidRDefault="00FA7ECB" w:rsidP="00FA7ECB">
      <w:pPr>
        <w:pStyle w:val="Prrafodelista"/>
        <w:ind w:left="435"/>
        <w:rPr>
          <w:b/>
          <w:bCs/>
          <w:lang w:eastAsia="es-CO"/>
        </w:rPr>
      </w:pPr>
    </w:p>
    <w:p w14:paraId="1DBFB49D" w14:textId="1A5E6D43"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00CDBD45" w:rsidR="00EE5D39" w:rsidRPr="00A938B1" w:rsidRDefault="00CD1853" w:rsidP="00CD1853">
      <w:pPr>
        <w:pStyle w:val="Prrafodelista"/>
        <w:ind w:left="0"/>
        <w:rPr>
          <w:b/>
          <w:bCs/>
          <w:color w:val="4472C4" w:themeColor="accent5"/>
          <w:lang w:eastAsia="es-CO"/>
        </w:rPr>
      </w:pPr>
      <w:r w:rsidRPr="007C46BA">
        <w:rPr>
          <w:b/>
          <w:bCs/>
          <w:lang w:eastAsia="es-CO"/>
        </w:rPr>
        <w:t>5.</w:t>
      </w:r>
      <w:r w:rsidRPr="00FA7ECB">
        <w:rPr>
          <w:b/>
          <w:bCs/>
          <w:color w:val="000000" w:themeColor="text1"/>
          <w:lang w:eastAsia="es-CO"/>
        </w:rPr>
        <w:t>1</w:t>
      </w:r>
      <w:r w:rsidR="00E95280" w:rsidRPr="00FA7ECB">
        <w:rPr>
          <w:b/>
          <w:bCs/>
          <w:color w:val="000000" w:themeColor="text1"/>
          <w:lang w:eastAsia="es-CO"/>
        </w:rPr>
        <w:t>0.</w:t>
      </w:r>
      <w:r w:rsidRPr="00FA7ECB">
        <w:rPr>
          <w:b/>
          <w:bCs/>
          <w:color w:val="000000" w:themeColor="text1"/>
          <w:lang w:eastAsia="es-CO"/>
        </w:rPr>
        <w:t>1</w:t>
      </w:r>
      <w:r w:rsidR="00EE5D39" w:rsidRPr="00FA7ECB">
        <w:rPr>
          <w:b/>
          <w:bCs/>
          <w:color w:val="000000" w:themeColor="text1"/>
          <w:lang w:val="es-ES_tradnl" w:eastAsia="es-CO"/>
        </w:rPr>
        <w:t xml:space="preserve">  </w:t>
      </w:r>
      <w:r w:rsidR="00A938B1" w:rsidRPr="00FA7ECB">
        <w:rPr>
          <w:b/>
          <w:bCs/>
          <w:color w:val="000000" w:themeColor="text1"/>
          <w:lang w:val="es-ES_tradnl" w:eastAsia="es-CO"/>
        </w:rPr>
        <w:t>Garantía Hipotecaria</w:t>
      </w:r>
      <w:r w:rsidR="00A938B1" w:rsidRPr="00FA7ECB">
        <w:rPr>
          <w:color w:val="000000" w:themeColor="text1"/>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23DCCED9"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952C3C" w:rsidRPr="00BA5375">
        <w:rPr>
          <w:rFonts w:ascii="Arial" w:hAnsi="Arial" w:cs="Arial"/>
          <w:color w:val="EE0000"/>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08497B73"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FA7ECB">
        <w:rPr>
          <w:rFonts w:ascii="Arial" w:hAnsi="Arial" w:cs="Arial"/>
          <w:bCs/>
          <w:color w:val="000000" w:themeColor="text1"/>
          <w:lang w:val="es-MX"/>
        </w:rPr>
        <w:t xml:space="preserve">exigir </w:t>
      </w:r>
      <w:r w:rsidR="00573B0F" w:rsidRPr="00FA7ECB">
        <w:rPr>
          <w:rFonts w:ascii="Arial" w:hAnsi="Arial" w:cs="Arial"/>
          <w:bCs/>
          <w:color w:val="000000" w:themeColor="text1"/>
          <w:lang w:val="es-MX"/>
        </w:rPr>
        <w:t xml:space="preserve">sujeto de crédito </w:t>
      </w:r>
      <w:r w:rsidRPr="00FA7ECB">
        <w:rPr>
          <w:rFonts w:ascii="Arial" w:hAnsi="Arial" w:cs="Arial"/>
          <w:bCs/>
          <w:color w:val="000000" w:themeColor="text1"/>
          <w:lang w:val="es-MX"/>
        </w:rPr>
        <w:t>la constitución de garantías mobiliarias o cesión de derechos fiduciarios, con la finalidad de garantizar el pago de la obligación, sin perjuicio de la hipot</w:t>
      </w:r>
      <w:r w:rsidRPr="00BD54B2">
        <w:rPr>
          <w:rFonts w:ascii="Arial" w:hAnsi="Arial" w:cs="Arial"/>
          <w:bCs/>
          <w:lang w:val="es-MX"/>
        </w:rPr>
        <w:t xml:space="preserve">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FA7ECB" w:rsidRDefault="00AC566D" w:rsidP="0FF5B2BC">
      <w:pPr>
        <w:pStyle w:val="NormalWeb"/>
        <w:spacing w:before="0" w:beforeAutospacing="0" w:after="0" w:afterAutospacing="0"/>
        <w:jc w:val="both"/>
        <w:rPr>
          <w:rFonts w:ascii="Arial" w:hAnsi="Arial" w:cs="Arial"/>
          <w:b/>
          <w:color w:val="000000" w:themeColor="text1"/>
          <w:lang w:val="es-MX"/>
        </w:rPr>
      </w:pPr>
      <w:r w:rsidRPr="00FA7ECB">
        <w:rPr>
          <w:rFonts w:ascii="Arial" w:hAnsi="Arial" w:cs="Arial"/>
          <w:bCs/>
          <w:color w:val="000000" w:themeColor="text1"/>
          <w:lang w:val="es-MX"/>
        </w:rPr>
        <w:t xml:space="preserve">5.10.3 </w:t>
      </w:r>
      <w:r w:rsidR="00B42F81" w:rsidRPr="00FA7ECB">
        <w:rPr>
          <w:rFonts w:ascii="Arial" w:hAnsi="Arial" w:cs="Arial"/>
          <w:b/>
          <w:color w:val="000000" w:themeColor="text1"/>
          <w:lang w:val="es-MX"/>
        </w:rPr>
        <w:t>Deudores Solidarios</w:t>
      </w:r>
      <w:r w:rsidR="00537674" w:rsidRPr="00FA7ECB">
        <w:rPr>
          <w:rFonts w:ascii="Arial" w:hAnsi="Arial" w:cs="Arial"/>
          <w:b/>
          <w:color w:val="000000" w:themeColor="text1"/>
          <w:lang w:val="es-MX"/>
        </w:rPr>
        <w:t>.</w:t>
      </w:r>
    </w:p>
    <w:p w14:paraId="253C96D8" w14:textId="77777777" w:rsidR="00537674" w:rsidRPr="00FA7ECB" w:rsidRDefault="00537674" w:rsidP="0FF5B2BC">
      <w:pPr>
        <w:pStyle w:val="NormalWeb"/>
        <w:spacing w:before="0" w:beforeAutospacing="0" w:after="0" w:afterAutospacing="0"/>
        <w:jc w:val="both"/>
        <w:rPr>
          <w:rFonts w:ascii="Arial" w:hAnsi="Arial" w:cs="Arial"/>
          <w:color w:val="000000" w:themeColor="text1"/>
          <w:lang w:val="es-MX"/>
        </w:rPr>
      </w:pPr>
    </w:p>
    <w:p w14:paraId="2905D11C" w14:textId="556B6D47" w:rsidR="006B069D" w:rsidRPr="00FA7ECB" w:rsidRDefault="0075305C" w:rsidP="00E0065B">
      <w:pPr>
        <w:pStyle w:val="NormalWeb"/>
        <w:spacing w:before="0" w:beforeAutospacing="0" w:after="0" w:afterAutospacing="0"/>
        <w:jc w:val="both"/>
        <w:rPr>
          <w:rFonts w:ascii="Arial" w:hAnsi="Arial" w:cs="Arial"/>
          <w:b/>
          <w:bCs/>
          <w:color w:val="000000" w:themeColor="text1"/>
        </w:rPr>
      </w:pPr>
      <w:r w:rsidRPr="00FA7ECB">
        <w:rPr>
          <w:rFonts w:ascii="Arial" w:hAnsi="Arial" w:cs="Arial"/>
          <w:bCs/>
          <w:color w:val="000000" w:themeColor="text1"/>
          <w:lang w:val="es-MX"/>
        </w:rPr>
        <w:t xml:space="preserve">Se solicitará deudores solidarios en los términos establecidos en el </w:t>
      </w:r>
      <w:r w:rsidR="10C2EE7D" w:rsidRPr="00FA7ECB">
        <w:rPr>
          <w:rFonts w:ascii="Arial" w:hAnsi="Arial" w:cs="Arial"/>
          <w:color w:val="000000" w:themeColor="text1"/>
          <w:lang w:val="es-MX"/>
        </w:rPr>
        <w:t xml:space="preserve">Manual del Sistema Integral de Administración de </w:t>
      </w:r>
      <w:r w:rsidR="4C74A874" w:rsidRPr="00FA7ECB">
        <w:rPr>
          <w:rFonts w:ascii="Arial" w:hAnsi="Arial" w:cs="Arial"/>
          <w:color w:val="000000" w:themeColor="text1"/>
          <w:lang w:val="es-MX"/>
        </w:rPr>
        <w:t xml:space="preserve">Riesgos </w:t>
      </w:r>
      <w:r w:rsidRPr="00FA7ECB">
        <w:rPr>
          <w:rFonts w:ascii="Arial" w:hAnsi="Arial" w:cs="Arial"/>
          <w:color w:val="000000" w:themeColor="text1"/>
          <w:lang w:val="es-MX"/>
        </w:rPr>
        <w:t>SIAR.</w:t>
      </w:r>
      <w:r w:rsidRPr="00FA7ECB">
        <w:rPr>
          <w:rFonts w:ascii="Arial" w:hAnsi="Arial" w:cs="Arial"/>
          <w:bCs/>
          <w:color w:val="000000" w:themeColor="text1"/>
          <w:lang w:val="es-MX"/>
        </w:rPr>
        <w:t xml:space="preserve"> No obstante, lo anterior</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1B4BFE" w:rsidRPr="00FA7ECB">
        <w:rPr>
          <w:rFonts w:ascii="Arial" w:hAnsi="Arial" w:cs="Arial"/>
          <w:bCs/>
          <w:color w:val="000000" w:themeColor="text1"/>
          <w:lang w:val="es-MX"/>
        </w:rPr>
        <w:t xml:space="preserve">en </w:t>
      </w:r>
      <w:r w:rsidR="00902FD3" w:rsidRPr="00FA7ECB">
        <w:rPr>
          <w:rFonts w:ascii="Arial" w:hAnsi="Arial" w:cs="Arial"/>
          <w:bCs/>
          <w:color w:val="000000" w:themeColor="text1"/>
          <w:lang w:val="es-MX"/>
        </w:rPr>
        <w:t xml:space="preserve">el escenario donde </w:t>
      </w:r>
      <w:r w:rsidRPr="00FA7ECB">
        <w:rPr>
          <w:rFonts w:ascii="Arial" w:hAnsi="Arial" w:cs="Arial"/>
          <w:bCs/>
          <w:color w:val="000000" w:themeColor="text1"/>
          <w:lang w:val="es-MX"/>
        </w:rPr>
        <w:t xml:space="preserve">el Patrimonio Autónomo </w:t>
      </w:r>
      <w:r w:rsidR="00902FD3" w:rsidRPr="00FA7ECB">
        <w:rPr>
          <w:rFonts w:ascii="Arial" w:hAnsi="Arial" w:cs="Arial"/>
          <w:bCs/>
          <w:color w:val="000000" w:themeColor="text1"/>
          <w:lang w:val="es-MX"/>
        </w:rPr>
        <w:t xml:space="preserve">obre </w:t>
      </w:r>
      <w:r w:rsidRPr="00FA7ECB">
        <w:rPr>
          <w:rFonts w:ascii="Arial" w:hAnsi="Arial" w:cs="Arial"/>
          <w:bCs/>
          <w:color w:val="000000" w:themeColor="text1"/>
          <w:lang w:val="es-MX"/>
        </w:rPr>
        <w:t>en calidad de deudor principal</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902FD3" w:rsidRPr="00FA7ECB">
        <w:rPr>
          <w:rFonts w:ascii="Arial" w:hAnsi="Arial" w:cs="Arial"/>
          <w:bCs/>
          <w:color w:val="000000" w:themeColor="text1"/>
          <w:lang w:val="es-MX"/>
        </w:rPr>
        <w:t>el fideicomitente constructor y/o desarrollador</w:t>
      </w:r>
      <w:r w:rsidRPr="00FA7ECB">
        <w:rPr>
          <w:rFonts w:ascii="Arial" w:hAnsi="Arial" w:cs="Arial"/>
          <w:bCs/>
          <w:color w:val="000000" w:themeColor="text1"/>
          <w:lang w:val="es-MX"/>
        </w:rPr>
        <w:t xml:space="preserve"> tendrá la calidad de deudor solidario</w:t>
      </w:r>
      <w:r w:rsidR="00902FD3" w:rsidRPr="00FA7ECB">
        <w:rPr>
          <w:rFonts w:ascii="Arial" w:hAnsi="Arial" w:cs="Arial"/>
          <w:bCs/>
          <w:color w:val="000000" w:themeColor="text1"/>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Pr="00F02F06">
        <w:rPr>
          <w:rFonts w:ascii="Arial" w:hAnsi="Arial" w:cs="Arial"/>
          <w:b/>
          <w:bCs/>
          <w:color w:val="000000" w:themeColor="text1"/>
        </w:rPr>
        <w:t>.</w:t>
      </w:r>
      <w:r w:rsidR="51D1DE33" w:rsidRPr="00F02F06">
        <w:rPr>
          <w:rFonts w:ascii="Arial" w:hAnsi="Arial" w:cs="Arial"/>
          <w:b/>
          <w:bCs/>
          <w:color w:val="000000" w:themeColor="text1"/>
        </w:rPr>
        <w:t xml:space="preserve">4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3EF08B0"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799490D5"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obstante la facultad de que el </w:t>
      </w:r>
      <w:r w:rsidR="00F02F06">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 siguientes parámetros</w:t>
      </w:r>
      <w:r>
        <w:rPr>
          <w:rFonts w:ascii="Arial" w:hAnsi="Arial" w:cs="Arial"/>
          <w:lang w:val="es-ES"/>
        </w:rPr>
        <w:t xml:space="preserve"> </w:t>
      </w:r>
      <w:r w:rsidR="00F02F06">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2B993CEB" w:rsidR="00846C33" w:rsidRPr="00992F99" w:rsidRDefault="00846C33" w:rsidP="00992F99">
      <w:pPr>
        <w:pStyle w:val="Prrafodelista"/>
        <w:numPr>
          <w:ilvl w:val="0"/>
          <w:numId w:val="57"/>
        </w:numPr>
        <w:rPr>
          <w:lang w:val="es-ES"/>
        </w:rPr>
      </w:pP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68F127FD" w:rsidR="00E61625" w:rsidRPr="00F02F06" w:rsidRDefault="00DA3832" w:rsidP="00992F99">
      <w:pPr>
        <w:pStyle w:val="Prrafodelista"/>
        <w:numPr>
          <w:ilvl w:val="0"/>
          <w:numId w:val="57"/>
        </w:numPr>
        <w:rPr>
          <w:color w:val="000000" w:themeColor="text1"/>
        </w:rPr>
      </w:pPr>
      <w:r w:rsidRPr="00F02F06">
        <w:rPr>
          <w:color w:val="000000" w:themeColor="text1"/>
        </w:rPr>
        <w:t xml:space="preserve">Para los casos en que el Patrimonio Autónomo </w:t>
      </w:r>
      <w:r w:rsidR="004D55BF" w:rsidRPr="00F02F06">
        <w:rPr>
          <w:color w:val="000000" w:themeColor="text1"/>
        </w:rPr>
        <w:t xml:space="preserve">actúe </w:t>
      </w:r>
      <w:r w:rsidRPr="00F02F06">
        <w:rPr>
          <w:color w:val="000000" w:themeColor="text1"/>
        </w:rPr>
        <w:t>en calidad de deudor principal, el pagar</w:t>
      </w:r>
      <w:r w:rsidR="00B1539B" w:rsidRPr="00F02F06">
        <w:rPr>
          <w:color w:val="000000" w:themeColor="text1"/>
        </w:rPr>
        <w:t>é</w:t>
      </w:r>
      <w:r w:rsidRPr="00F02F06">
        <w:rPr>
          <w:color w:val="000000" w:themeColor="text1"/>
        </w:rPr>
        <w:t xml:space="preserve"> </w:t>
      </w:r>
      <w:r w:rsidR="00546F4B" w:rsidRPr="00F02F06">
        <w:rPr>
          <w:color w:val="000000" w:themeColor="text1"/>
        </w:rPr>
        <w:t>deberá ser</w:t>
      </w:r>
      <w:r w:rsidRPr="00F02F06">
        <w:rPr>
          <w:color w:val="000000" w:themeColor="text1"/>
        </w:rPr>
        <w:t xml:space="preserve"> suscrito por</w:t>
      </w:r>
      <w:r w:rsidR="00F71381" w:rsidRPr="00F02F06">
        <w:rPr>
          <w:color w:val="000000" w:themeColor="text1"/>
        </w:rPr>
        <w:t xml:space="preserve"> aquel, a través de su vocero</w:t>
      </w:r>
      <w:r w:rsidRPr="00F02F06">
        <w:rPr>
          <w:color w:val="000000" w:themeColor="text1"/>
        </w:rPr>
        <w:t xml:space="preserve"> </w:t>
      </w:r>
      <w:r w:rsidR="00F71381" w:rsidRPr="00F02F06">
        <w:rPr>
          <w:color w:val="000000" w:themeColor="text1"/>
        </w:rPr>
        <w:t>(</w:t>
      </w:r>
      <w:r w:rsidRPr="00F02F06">
        <w:rPr>
          <w:color w:val="000000" w:themeColor="text1"/>
        </w:rPr>
        <w:t>el Representante Legal de la fiduciaria</w:t>
      </w:r>
      <w:r w:rsidR="00F71381" w:rsidRPr="00F02F06">
        <w:rPr>
          <w:color w:val="000000" w:themeColor="text1"/>
        </w:rPr>
        <w:t>).</w:t>
      </w:r>
      <w:r w:rsidR="001165DB" w:rsidRPr="00F02F06">
        <w:rPr>
          <w:color w:val="000000" w:themeColor="text1"/>
        </w:rPr>
        <w:t xml:space="preserve"> </w:t>
      </w:r>
      <w:r w:rsidR="00F85858" w:rsidRPr="00F02F06">
        <w:rPr>
          <w:color w:val="000000" w:themeColor="text1"/>
        </w:rPr>
        <w:t>Adicionalmente, el</w:t>
      </w:r>
      <w:r w:rsidR="00671C8A" w:rsidRPr="00F02F06">
        <w:rPr>
          <w:color w:val="000000" w:themeColor="text1"/>
        </w:rPr>
        <w:t xml:space="preserve"> pagar</w:t>
      </w:r>
      <w:r w:rsidR="00F85858" w:rsidRPr="00F02F06">
        <w:rPr>
          <w:color w:val="000000" w:themeColor="text1"/>
        </w:rPr>
        <w:t>é</w:t>
      </w:r>
      <w:r w:rsidR="00671C8A" w:rsidRPr="00F02F06">
        <w:rPr>
          <w:color w:val="000000" w:themeColor="text1"/>
        </w:rPr>
        <w:t xml:space="preserve"> deberá ser suscrito</w:t>
      </w:r>
      <w:r w:rsidR="003A7027" w:rsidRPr="00F02F06">
        <w:rPr>
          <w:color w:val="000000" w:themeColor="text1"/>
        </w:rPr>
        <w:t xml:space="preserve"> por </w:t>
      </w:r>
      <w:r w:rsidR="00A44A99" w:rsidRPr="00F02F06">
        <w:rPr>
          <w:color w:val="000000" w:themeColor="text1"/>
        </w:rPr>
        <w:t xml:space="preserve">el constructor y/o </w:t>
      </w:r>
      <w:r w:rsidR="00F02F06" w:rsidRPr="00F02F06">
        <w:rPr>
          <w:color w:val="000000" w:themeColor="text1"/>
        </w:rPr>
        <w:t>desarrollador</w:t>
      </w:r>
      <w:r w:rsidR="00A44A99" w:rsidRPr="00F02F06">
        <w:rPr>
          <w:color w:val="000000" w:themeColor="text1"/>
        </w:rPr>
        <w:t xml:space="preserve"> en su calidad de deudor solidarios y por los socios en su calidad de </w:t>
      </w:r>
      <w:r w:rsidRPr="00F02F06">
        <w:rPr>
          <w:color w:val="000000" w:themeColor="text1"/>
        </w:rPr>
        <w:t>deudor</w:t>
      </w:r>
      <w:r w:rsidR="00902FD3" w:rsidRPr="00F02F06">
        <w:rPr>
          <w:color w:val="000000" w:themeColor="text1"/>
        </w:rPr>
        <w:t>es</w:t>
      </w:r>
      <w:r w:rsidRPr="00F02F06">
        <w:rPr>
          <w:color w:val="000000" w:themeColor="text1"/>
        </w:rPr>
        <w:t xml:space="preserve"> solidari</w:t>
      </w:r>
      <w:r w:rsidR="00382FEF" w:rsidRPr="00F02F06">
        <w:rPr>
          <w:color w:val="000000" w:themeColor="text1"/>
        </w:rPr>
        <w:t>o</w:t>
      </w:r>
      <w:r w:rsidR="00902FD3" w:rsidRPr="00F02F06">
        <w:rPr>
          <w:color w:val="000000" w:themeColor="text1"/>
        </w:rPr>
        <w:t>s</w:t>
      </w:r>
      <w:r w:rsidR="00900969" w:rsidRPr="00F02F06">
        <w:rPr>
          <w:color w:val="000000" w:themeColor="text1"/>
        </w:rPr>
        <w:t xml:space="preserve">, en las </w:t>
      </w:r>
      <w:r w:rsidR="00303E96" w:rsidRPr="00F02F06">
        <w:rPr>
          <w:color w:val="000000" w:themeColor="text1"/>
        </w:rPr>
        <w:t xml:space="preserve">condiciones establecidas en </w:t>
      </w:r>
      <w:r w:rsidR="00E61625" w:rsidRPr="00F02F06">
        <w:rPr>
          <w:color w:val="000000" w:themeColor="text1"/>
        </w:rPr>
        <w:t>el Manual del Sistema Integral de Administración de Riesgos (SIAR).</w:t>
      </w:r>
    </w:p>
    <w:p w14:paraId="237D6DC7" w14:textId="3AB164A6" w:rsidR="003E3A9C" w:rsidRPr="00F02F06" w:rsidRDefault="003E3A9C" w:rsidP="00846C33">
      <w:pPr>
        <w:jc w:val="both"/>
        <w:rPr>
          <w:rFonts w:ascii="Arial" w:hAnsi="Arial" w:cs="Arial"/>
          <w:color w:val="000000" w:themeColor="text1"/>
          <w:lang w:val="es-MX"/>
        </w:rPr>
      </w:pPr>
    </w:p>
    <w:p w14:paraId="688CB54A" w14:textId="0F38532E" w:rsidR="00DA3832" w:rsidRPr="00F02F06" w:rsidRDefault="00F02F06" w:rsidP="00992F99">
      <w:pPr>
        <w:pStyle w:val="Prrafodelista"/>
        <w:numPr>
          <w:ilvl w:val="0"/>
          <w:numId w:val="57"/>
        </w:numPr>
        <w:rPr>
          <w:color w:val="000000" w:themeColor="text1"/>
        </w:rPr>
      </w:pPr>
      <w:r w:rsidRPr="00F02F06">
        <w:rPr>
          <w:color w:val="000000" w:themeColor="text1"/>
        </w:rPr>
        <w:t>L</w:t>
      </w:r>
      <w:r w:rsidR="00992F99" w:rsidRPr="00F02F06">
        <w:rPr>
          <w:color w:val="000000" w:themeColor="text1"/>
        </w:rPr>
        <w:t>as</w:t>
      </w:r>
      <w:r w:rsidR="00684A3E" w:rsidRPr="00F02F06">
        <w:rPr>
          <w:color w:val="000000" w:themeColor="text1"/>
        </w:rPr>
        <w:t xml:space="preserve"> operaciones celebradas con sujetos de crédito </w:t>
      </w:r>
      <w:r w:rsidR="00F85858" w:rsidRPr="00F02F06">
        <w:rPr>
          <w:color w:val="000000" w:themeColor="text1"/>
        </w:rPr>
        <w:t>distintos a</w:t>
      </w:r>
      <w:r w:rsidR="00684A3E" w:rsidRPr="00F02F06">
        <w:rPr>
          <w:color w:val="000000" w:themeColor="text1"/>
        </w:rPr>
        <w:t xml:space="preserve"> un </w:t>
      </w:r>
      <w:r w:rsidR="00054A5E" w:rsidRPr="00F02F06">
        <w:rPr>
          <w:color w:val="000000" w:themeColor="text1"/>
        </w:rPr>
        <w:t>P</w:t>
      </w:r>
      <w:r w:rsidR="00684A3E" w:rsidRPr="00F02F06">
        <w:rPr>
          <w:color w:val="000000" w:themeColor="text1"/>
        </w:rPr>
        <w:t xml:space="preserve">atrimonio </w:t>
      </w:r>
      <w:r w:rsidR="00054A5E" w:rsidRPr="00F02F06">
        <w:rPr>
          <w:color w:val="000000" w:themeColor="text1"/>
        </w:rPr>
        <w:t>A</w:t>
      </w:r>
      <w:r w:rsidR="00684A3E" w:rsidRPr="00F02F06">
        <w:rPr>
          <w:color w:val="000000" w:themeColor="text1"/>
        </w:rPr>
        <w:t>utónomo, el pagaré deberá ser suscrito por el representan</w:t>
      </w:r>
      <w:r w:rsidR="00F85858" w:rsidRPr="00F02F06">
        <w:rPr>
          <w:color w:val="000000" w:themeColor="text1"/>
        </w:rPr>
        <w:t>te del desarrollador o constructor del proyecto</w:t>
      </w:r>
      <w:r w:rsidR="00992F99" w:rsidRPr="00F02F06">
        <w:rPr>
          <w:color w:val="000000" w:themeColor="text1"/>
        </w:rPr>
        <w:t xml:space="preserve"> y</w:t>
      </w:r>
      <w:r w:rsidR="00045D62" w:rsidRPr="00F02F06">
        <w:rPr>
          <w:color w:val="000000" w:themeColor="text1"/>
        </w:rPr>
        <w:t xml:space="preserve"> </w:t>
      </w:r>
      <w:r w:rsidR="00F85858" w:rsidRPr="00F02F06">
        <w:rPr>
          <w:color w:val="000000" w:themeColor="text1"/>
        </w:rPr>
        <w:t xml:space="preserve">por los socios </w:t>
      </w:r>
      <w:r w:rsidR="00045D62" w:rsidRPr="00F02F06">
        <w:rPr>
          <w:color w:val="000000" w:themeColor="text1"/>
        </w:rPr>
        <w:t xml:space="preserve"> </w:t>
      </w:r>
      <w:r w:rsidR="00FF3D7A" w:rsidRPr="00F02F06">
        <w:rPr>
          <w:color w:val="000000" w:themeColor="text1"/>
        </w:rPr>
        <w:t>de acuerdo a las políticas establecidas en</w:t>
      </w:r>
      <w:r w:rsidR="00F85858" w:rsidRPr="00F02F06">
        <w:rPr>
          <w:color w:val="000000" w:themeColor="text1"/>
        </w:rPr>
        <w:t xml:space="preserve"> el </w:t>
      </w:r>
      <w:r w:rsidR="00DA3832" w:rsidRPr="00F02F06">
        <w:rPr>
          <w:color w:val="000000" w:themeColor="text1"/>
        </w:rPr>
        <w:t xml:space="preserve">Manual </w:t>
      </w:r>
      <w:r w:rsidR="00546F4B" w:rsidRPr="00F02F06">
        <w:rPr>
          <w:color w:val="000000" w:themeColor="text1"/>
        </w:rPr>
        <w:t>del Sistema Integral de Administración de Riesgos (</w:t>
      </w:r>
      <w:r w:rsidR="00DA3832" w:rsidRPr="00F02F06">
        <w:rPr>
          <w:color w:val="000000" w:themeColor="text1"/>
        </w:rPr>
        <w:t>SIAR</w:t>
      </w:r>
      <w:r w:rsidR="00546F4B" w:rsidRPr="00F02F06">
        <w:rPr>
          <w:color w:val="000000" w:themeColor="text1"/>
        </w:rPr>
        <w:t>)</w:t>
      </w:r>
      <w:r w:rsidR="00DA3832" w:rsidRPr="00F02F06">
        <w:rPr>
          <w:color w:val="000000" w:themeColor="text1"/>
        </w:rPr>
        <w:t>.</w:t>
      </w:r>
    </w:p>
    <w:p w14:paraId="4E89A7C4" w14:textId="77777777" w:rsidR="001F0A17"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01D72758"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w:t>
      </w:r>
      <w:r w:rsidRPr="00F02F06">
        <w:rPr>
          <w:rFonts w:ascii="Arial" w:hAnsi="Arial" w:cs="Arial"/>
          <w:color w:val="000000" w:themeColor="text1"/>
        </w:rPr>
        <w:t xml:space="preserve">Para el otorgamiento del Crédito Constructor, se evaluarán tanto el </w:t>
      </w:r>
      <w:r w:rsidR="0007743F" w:rsidRPr="00F02F06">
        <w:rPr>
          <w:rFonts w:ascii="Arial" w:hAnsi="Arial" w:cs="Arial"/>
          <w:color w:val="000000" w:themeColor="text1"/>
        </w:rPr>
        <w:t xml:space="preserve"> sujeto de </w:t>
      </w:r>
      <w:r w:rsidR="4D9C5A5A" w:rsidRPr="00F02F06">
        <w:rPr>
          <w:rFonts w:ascii="Arial" w:hAnsi="Arial" w:cs="Arial"/>
          <w:color w:val="000000" w:themeColor="text1"/>
        </w:rPr>
        <w:t>crédito</w:t>
      </w:r>
      <w:r w:rsidRPr="00F02F06">
        <w:rPr>
          <w:rFonts w:ascii="Arial" w:hAnsi="Arial" w:cs="Arial"/>
          <w:color w:val="000000" w:themeColor="text1"/>
        </w:rPr>
        <w:t xml:space="preserve"> como el proyecto bajo el modelo de otorgamiento establecido. Si el estudio de títulos del predio, de la Sociedad y de los Socios es favorable al momento de legalizar la operación, el cliente constructor</w:t>
      </w:r>
      <w:r w:rsidR="00A01672" w:rsidRPr="00F02F06">
        <w:rPr>
          <w:rFonts w:ascii="Arial" w:hAnsi="Arial" w:cs="Arial"/>
          <w:color w:val="000000" w:themeColor="text1"/>
        </w:rPr>
        <w:t xml:space="preserve"> </w:t>
      </w:r>
      <w:r w:rsidRPr="00F02F06">
        <w:rPr>
          <w:rFonts w:ascii="Arial" w:hAnsi="Arial" w:cs="Arial"/>
          <w:color w:val="000000" w:themeColor="text1"/>
        </w:rPr>
        <w:t xml:space="preserve">deberá contar con un patrimonio </w:t>
      </w:r>
      <w:r w:rsidR="002B6040" w:rsidRPr="00F02F06">
        <w:rPr>
          <w:rFonts w:ascii="Arial" w:hAnsi="Arial" w:cs="Arial"/>
          <w:color w:val="000000" w:themeColor="text1"/>
        </w:rPr>
        <w:t xml:space="preserve">autónomo, en el </w:t>
      </w:r>
      <w:r w:rsidRPr="00F02F06">
        <w:rPr>
          <w:rFonts w:ascii="Arial" w:hAnsi="Arial" w:cs="Arial"/>
          <w:color w:val="000000" w:themeColor="text1"/>
        </w:rPr>
        <w:t>cua</w:t>
      </w:r>
      <w:r w:rsidR="002B6040" w:rsidRPr="00F02F06">
        <w:rPr>
          <w:rFonts w:ascii="Arial" w:hAnsi="Arial" w:cs="Arial"/>
          <w:color w:val="000000" w:themeColor="text1"/>
        </w:rPr>
        <w:t>l</w:t>
      </w:r>
      <w:r w:rsidRPr="00F02F06">
        <w:rPr>
          <w:rFonts w:ascii="Arial" w:hAnsi="Arial" w:cs="Arial"/>
          <w:color w:val="000000" w:themeColor="text1"/>
        </w:rPr>
        <w:t xml:space="preserve"> </w:t>
      </w:r>
      <w:r w:rsidR="00670B96" w:rsidRPr="00F02F06">
        <w:rPr>
          <w:rFonts w:ascii="Arial" w:hAnsi="Arial" w:cs="Arial"/>
          <w:color w:val="000000" w:themeColor="text1"/>
        </w:rPr>
        <w:t xml:space="preserve">debió </w:t>
      </w:r>
      <w:r w:rsidR="002B6040" w:rsidRPr="00F02F06">
        <w:rPr>
          <w:rFonts w:ascii="Arial" w:hAnsi="Arial" w:cs="Arial"/>
          <w:color w:val="000000" w:themeColor="text1"/>
        </w:rPr>
        <w:t>ser</w:t>
      </w:r>
      <w:r w:rsidR="00904FE3" w:rsidRPr="00F02F06">
        <w:rPr>
          <w:rFonts w:ascii="Arial" w:hAnsi="Arial" w:cs="Arial"/>
          <w:color w:val="000000" w:themeColor="text1"/>
        </w:rPr>
        <w:t xml:space="preserve"> </w:t>
      </w:r>
      <w:r w:rsidR="00520249" w:rsidRPr="00F02F06">
        <w:rPr>
          <w:rFonts w:ascii="Arial" w:hAnsi="Arial" w:cs="Arial"/>
          <w:color w:val="000000" w:themeColor="text1"/>
        </w:rPr>
        <w:t>transferido el</w:t>
      </w:r>
      <w:r w:rsidRPr="00F02F06">
        <w:rPr>
          <w:rFonts w:ascii="Arial" w:hAnsi="Arial" w:cs="Arial"/>
          <w:color w:val="000000" w:themeColor="text1"/>
        </w:rPr>
        <w:t xml:space="preserve"> lote hipotecado en primer grado a favor del Fondo Nacional del Ahorro S.A., y aprobado por </w:t>
      </w:r>
      <w:r w:rsidR="00670B96" w:rsidRPr="00F02F06">
        <w:rPr>
          <w:rFonts w:ascii="Arial" w:hAnsi="Arial" w:cs="Arial"/>
          <w:color w:val="000000" w:themeColor="text1"/>
        </w:rPr>
        <w:t>é</w:t>
      </w:r>
      <w:r w:rsidRPr="00F02F06">
        <w:rPr>
          <w:rFonts w:ascii="Arial" w:hAnsi="Arial" w:cs="Arial"/>
          <w:color w:val="000000" w:themeColor="text1"/>
        </w:rPr>
        <w:t>ste. Si el estudio es desfavorable</w:t>
      </w:r>
      <w:r w:rsidR="00670B96" w:rsidRPr="00F02F06">
        <w:rPr>
          <w:rFonts w:ascii="Arial" w:hAnsi="Arial" w:cs="Arial"/>
          <w:color w:val="000000" w:themeColor="text1"/>
        </w:rPr>
        <w:t>,</w:t>
      </w:r>
      <w:r w:rsidRPr="00F02F06">
        <w:rPr>
          <w:rFonts w:ascii="Arial" w:hAnsi="Arial" w:cs="Arial"/>
          <w:color w:val="000000" w:themeColor="text1"/>
        </w:rPr>
        <w:t xml:space="preserve"> tendrá que procederse </w:t>
      </w:r>
      <w:r w:rsidR="00670B96" w:rsidRPr="00F02F06">
        <w:rPr>
          <w:rFonts w:ascii="Arial" w:hAnsi="Arial" w:cs="Arial"/>
          <w:color w:val="000000" w:themeColor="text1"/>
        </w:rPr>
        <w:t>con</w:t>
      </w:r>
      <w:r w:rsidRPr="00F02F06">
        <w:rPr>
          <w:rFonts w:ascii="Arial" w:hAnsi="Arial" w:cs="Arial"/>
          <w:color w:val="000000" w:themeColor="text1"/>
        </w:rPr>
        <w:t xml:space="preserve"> la respectiva subsanación de las condiciones legales del predio y/o de la </w:t>
      </w:r>
      <w:r w:rsidR="00FF02C8" w:rsidRPr="00F02F06">
        <w:rPr>
          <w:rFonts w:ascii="Arial" w:hAnsi="Arial" w:cs="Arial"/>
          <w:color w:val="000000" w:themeColor="text1"/>
        </w:rPr>
        <w:t xml:space="preserve">Sociedad. Lo expuesto sin prejuicio en las operaciones en donde el sujeto de crédito es el </w:t>
      </w:r>
      <w:r w:rsidR="00335A6B" w:rsidRPr="00F02F06">
        <w:rPr>
          <w:rFonts w:ascii="Arial" w:hAnsi="Arial" w:cs="Arial"/>
          <w:color w:val="000000" w:themeColor="text1"/>
        </w:rPr>
        <w:t>P</w:t>
      </w:r>
      <w:r w:rsidR="00FF02C8" w:rsidRPr="00F02F06">
        <w:rPr>
          <w:rFonts w:ascii="Arial" w:hAnsi="Arial" w:cs="Arial"/>
          <w:color w:val="000000" w:themeColor="text1"/>
        </w:rPr>
        <w:t xml:space="preserve">atrimonio </w:t>
      </w:r>
      <w:r w:rsidR="00191EE0" w:rsidRPr="00F02F06">
        <w:rPr>
          <w:rFonts w:ascii="Arial" w:hAnsi="Arial" w:cs="Arial"/>
          <w:color w:val="000000" w:themeColor="text1"/>
        </w:rPr>
        <w:t>A</w:t>
      </w:r>
      <w:r w:rsidR="00FF02C8" w:rsidRPr="00F02F06">
        <w:rPr>
          <w:rFonts w:ascii="Arial" w:hAnsi="Arial" w:cs="Arial"/>
          <w:color w:val="000000" w:themeColor="text1"/>
        </w:rPr>
        <w:t>utónomo</w:t>
      </w:r>
      <w:r w:rsidR="00FF02C8">
        <w:rPr>
          <w:rFonts w:ascii="Arial" w:hAnsi="Arial" w:cs="Arial"/>
          <w:color w:val="4472C4" w:themeColor="accent5"/>
        </w:rPr>
        <w:t>.</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2109A67D"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Los desembolsos podrán </w:t>
      </w:r>
      <w:r w:rsidRPr="00F02F06">
        <w:rPr>
          <w:rFonts w:ascii="Arial" w:hAnsi="Arial" w:cs="Arial"/>
          <w:color w:val="000000" w:themeColor="text1"/>
          <w:lang w:eastAsia="es-CO"/>
        </w:rPr>
        <w:t xml:space="preserve">ser parciales de acuerdo con la necesidad de caja del proyecto, previa solicitud escrita presentada por el constructor y análisis de factibilidad respectivo por parte de la </w:t>
      </w:r>
      <w:r w:rsidR="00BF5832" w:rsidRPr="00F02F06">
        <w:rPr>
          <w:rFonts w:ascii="Arial" w:hAnsi="Arial" w:cs="Arial"/>
          <w:color w:val="000000" w:themeColor="text1"/>
          <w:lang w:eastAsia="es-CO"/>
        </w:rPr>
        <w:t xml:space="preserve">Vicepresidencia </w:t>
      </w:r>
      <w:r w:rsidR="00F02F06" w:rsidRPr="00F02F06">
        <w:rPr>
          <w:rFonts w:ascii="Arial" w:hAnsi="Arial" w:cs="Arial"/>
          <w:color w:val="000000" w:themeColor="text1"/>
          <w:lang w:eastAsia="es-CO"/>
        </w:rPr>
        <w:t>de C</w:t>
      </w:r>
      <w:r w:rsidR="00BF5832" w:rsidRPr="00F02F06">
        <w:rPr>
          <w:rFonts w:ascii="Arial" w:hAnsi="Arial" w:cs="Arial"/>
          <w:color w:val="000000" w:themeColor="text1"/>
          <w:lang w:eastAsia="es-CO"/>
        </w:rPr>
        <w:t>rédito</w:t>
      </w:r>
      <w:r w:rsidR="00D708E9" w:rsidRPr="00F02F06">
        <w:rPr>
          <w:rFonts w:ascii="Arial" w:hAnsi="Arial" w:cs="Arial"/>
          <w:color w:val="000000" w:themeColor="text1"/>
          <w:lang w:eastAsia="es-CO"/>
        </w:rPr>
        <w:t>.</w:t>
      </w:r>
    </w:p>
    <w:p w14:paraId="035C04A4" w14:textId="77777777" w:rsidR="00846C33" w:rsidRPr="00F02F06" w:rsidRDefault="00846C33" w:rsidP="00846C33">
      <w:pPr>
        <w:jc w:val="both"/>
        <w:rPr>
          <w:rFonts w:ascii="Arial" w:hAnsi="Arial" w:cs="Arial"/>
          <w:color w:val="000000" w:themeColor="text1"/>
          <w:lang w:eastAsia="es-CO"/>
        </w:rPr>
      </w:pPr>
    </w:p>
    <w:p w14:paraId="7C2AB761" w14:textId="22A9EEE5" w:rsidR="00846C33" w:rsidRPr="00BD54B2" w:rsidRDefault="00846C33" w:rsidP="00846C33">
      <w:pPr>
        <w:jc w:val="both"/>
        <w:rPr>
          <w:rFonts w:ascii="Arial" w:hAnsi="Arial" w:cs="Arial"/>
          <w:lang w:val="es-ES"/>
        </w:rPr>
      </w:pPr>
      <w:r w:rsidRPr="00F02F06">
        <w:rPr>
          <w:rFonts w:ascii="Arial" w:hAnsi="Arial" w:cs="Arial"/>
          <w:color w:val="000000" w:themeColor="text1"/>
          <w:lang w:val="es-ES"/>
        </w:rPr>
        <w:t xml:space="preserve">El </w:t>
      </w:r>
      <w:r w:rsidR="00FB3B0A" w:rsidRPr="00F02F06">
        <w:rPr>
          <w:rFonts w:ascii="Arial" w:hAnsi="Arial" w:cs="Arial"/>
          <w:color w:val="000000" w:themeColor="text1"/>
          <w:lang w:val="es-ES"/>
        </w:rPr>
        <w:t xml:space="preserve">sujeto de crédito </w:t>
      </w:r>
      <w:r w:rsidRPr="00F02F06">
        <w:rPr>
          <w:rFonts w:ascii="Arial" w:hAnsi="Arial" w:cs="Arial"/>
          <w:color w:val="000000" w:themeColor="text1"/>
          <w:lang w:val="es-ES"/>
        </w:rPr>
        <w:t>deberá cumplir con las condiciones exigidas por el Fondo Nacional del Ahorro S.A</w:t>
      </w:r>
      <w:r w:rsidRPr="00F02F06">
        <w:rPr>
          <w:rFonts w:ascii="Arial" w:hAnsi="Arial" w:cs="Arial"/>
          <w:b/>
          <w:bCs/>
          <w:color w:val="000000" w:themeColor="text1"/>
          <w:lang w:val="es-ES"/>
        </w:rPr>
        <w:t xml:space="preserve"> </w:t>
      </w:r>
      <w:r w:rsidRPr="00F02F06">
        <w:rPr>
          <w:rFonts w:ascii="Arial" w:hAnsi="Arial" w:cs="Arial"/>
          <w:color w:val="000000" w:themeColor="text1"/>
          <w:lang w:val="es-ES"/>
        </w:rPr>
        <w:t xml:space="preserve">en este reglamento y en la aprobación del crédito. No obstante, los desembolsos serán ejecutados de forma fraccionada. En caso de construcción de vivienda nueva el primer desembolso podrá ser </w:t>
      </w:r>
      <w:r w:rsidR="00661912" w:rsidRPr="00F02F06">
        <w:rPr>
          <w:rFonts w:ascii="Arial" w:hAnsi="Arial" w:cs="Arial"/>
          <w:color w:val="000000" w:themeColor="text1"/>
          <w:lang w:val="es-ES"/>
        </w:rPr>
        <w:t xml:space="preserve">destinado </w:t>
      </w:r>
      <w:r w:rsidRPr="00F02F06">
        <w:rPr>
          <w:rFonts w:ascii="Arial" w:hAnsi="Arial" w:cs="Arial"/>
          <w:color w:val="000000" w:themeColor="text1"/>
          <w:lang w:val="es-ES"/>
        </w:rPr>
        <w:t xml:space="preserve">para cubrir los Gastos Preoperativos o de </w:t>
      </w:r>
      <w:r w:rsidRPr="00BD54B2">
        <w:rPr>
          <w:rFonts w:ascii="Arial" w:hAnsi="Arial" w:cs="Arial"/>
          <w:lang w:val="es-ES"/>
        </w:rPr>
        <w:t xml:space="preserve">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4C29379B"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F02F06">
        <w:rPr>
          <w:rFonts w:ascii="Arial" w:hAnsi="Arial" w:cs="Arial"/>
          <w:color w:val="000000" w:themeColor="text1"/>
          <w:lang w:val="es-ES"/>
        </w:rPr>
        <w:t>sujeto de crédito</w:t>
      </w:r>
      <w:r w:rsidRPr="00F02F06">
        <w:rPr>
          <w:rFonts w:ascii="Arial" w:hAnsi="Arial" w:cs="Arial"/>
          <w:color w:val="000000" w:themeColor="text1"/>
          <w:lang w:val="es-ES"/>
        </w:rPr>
        <w:t xml:space="preserve"> podrá </w:t>
      </w:r>
      <w:r w:rsidRPr="00BD54B2">
        <w:rPr>
          <w:rFonts w:ascii="Arial" w:hAnsi="Arial" w:cs="Arial"/>
          <w:lang w:val="es-ES"/>
        </w:rPr>
        <w:t>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0DF13113"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Para efectuar los desembolsos el </w:t>
      </w:r>
      <w:r w:rsidR="00AC5935" w:rsidRPr="00F02F06">
        <w:rPr>
          <w:rFonts w:ascii="Arial" w:hAnsi="Arial" w:cs="Arial"/>
          <w:color w:val="000000" w:themeColor="text1"/>
          <w:lang w:eastAsia="es-CO"/>
        </w:rPr>
        <w:t xml:space="preserve">sujeto de crédito </w:t>
      </w:r>
      <w:r w:rsidRPr="00F02F06">
        <w:rPr>
          <w:rFonts w:ascii="Arial" w:hAnsi="Arial" w:cs="Arial"/>
          <w:color w:val="000000" w:themeColor="text1"/>
          <w:lang w:eastAsia="es-CO"/>
        </w:rPr>
        <w:t xml:space="preserve">deberá </w:t>
      </w:r>
      <w:r w:rsidR="00197FA6" w:rsidRPr="00F02F06">
        <w:rPr>
          <w:rFonts w:ascii="Arial" w:hAnsi="Arial" w:cs="Arial"/>
          <w:color w:val="000000" w:themeColor="text1"/>
          <w:lang w:eastAsia="es-CO"/>
        </w:rPr>
        <w:t>encontrarse al</w:t>
      </w:r>
      <w:r w:rsidRPr="00F02F06">
        <w:rPr>
          <w:rFonts w:ascii="Arial" w:hAnsi="Arial" w:cs="Arial"/>
          <w:color w:val="000000" w:themeColor="text1"/>
          <w:lang w:eastAsia="es-CO"/>
        </w:rPr>
        <w:t xml:space="preserve"> día con los pagos de los intereses causados trimestralmente y no </w:t>
      </w:r>
      <w:r w:rsidR="002145A5" w:rsidRPr="00F02F06">
        <w:rPr>
          <w:rFonts w:ascii="Arial" w:hAnsi="Arial" w:cs="Arial"/>
          <w:color w:val="000000" w:themeColor="text1"/>
          <w:lang w:eastAsia="es-CO"/>
        </w:rPr>
        <w:t xml:space="preserve">podrá </w:t>
      </w:r>
      <w:r w:rsidRPr="00F02F06">
        <w:rPr>
          <w:rFonts w:ascii="Arial" w:hAnsi="Arial" w:cs="Arial"/>
          <w:color w:val="000000" w:themeColor="text1"/>
          <w:lang w:eastAsia="es-CO"/>
        </w:rPr>
        <w:t xml:space="preserve">encontrarse en mora con el sector real </w:t>
      </w:r>
      <w:r w:rsidR="0042194A" w:rsidRPr="00F02F06">
        <w:rPr>
          <w:rFonts w:ascii="Arial" w:hAnsi="Arial" w:cs="Arial"/>
          <w:color w:val="000000" w:themeColor="text1"/>
          <w:lang w:eastAsia="es-CO"/>
        </w:rPr>
        <w:t>o</w:t>
      </w:r>
      <w:r w:rsidRPr="00F02F06">
        <w:rPr>
          <w:rFonts w:ascii="Arial" w:hAnsi="Arial" w:cs="Arial"/>
          <w:color w:val="000000" w:themeColor="text1"/>
          <w:lang w:eastAsia="es-CO"/>
        </w:rPr>
        <w:t xml:space="preserve"> financiero.</w:t>
      </w:r>
    </w:p>
    <w:p w14:paraId="2A7098CC" w14:textId="77777777" w:rsidR="005C6B2A" w:rsidRPr="00F02F06" w:rsidRDefault="005C6B2A" w:rsidP="00846C33">
      <w:pPr>
        <w:jc w:val="both"/>
        <w:rPr>
          <w:rFonts w:ascii="Arial" w:hAnsi="Arial" w:cs="Arial"/>
          <w:color w:val="000000" w:themeColor="text1"/>
          <w:lang w:eastAsia="es-CO"/>
        </w:rPr>
      </w:pPr>
    </w:p>
    <w:p w14:paraId="0E238425" w14:textId="4482134C" w:rsidR="00846C33" w:rsidRPr="00F02F06" w:rsidRDefault="00513308" w:rsidP="00846C33">
      <w:pPr>
        <w:jc w:val="both"/>
        <w:rPr>
          <w:rFonts w:ascii="Arial" w:hAnsi="Arial" w:cs="Arial"/>
          <w:color w:val="000000" w:themeColor="text1"/>
          <w:lang w:eastAsia="es-CO"/>
        </w:rPr>
      </w:pPr>
      <w:r w:rsidRPr="00F02F06">
        <w:rPr>
          <w:rFonts w:ascii="Arial" w:hAnsi="Arial" w:cs="Arial"/>
          <w:color w:val="000000" w:themeColor="text1"/>
          <w:lang w:eastAsia="es-CO"/>
        </w:rPr>
        <w:t>En el evento de lo</w:t>
      </w:r>
      <w:r w:rsidR="00903F26" w:rsidRPr="00F02F06">
        <w:rPr>
          <w:rFonts w:ascii="Arial" w:hAnsi="Arial" w:cs="Arial"/>
          <w:color w:val="000000" w:themeColor="text1"/>
          <w:lang w:eastAsia="es-CO"/>
        </w:rPr>
        <w:t xml:space="preserve">s deudores solidarios se tendrá en cuenta </w:t>
      </w:r>
      <w:r w:rsidR="00A242A7" w:rsidRPr="00F02F06">
        <w:rPr>
          <w:rFonts w:ascii="Arial" w:hAnsi="Arial" w:cs="Arial"/>
          <w:color w:val="000000" w:themeColor="text1"/>
          <w:lang w:eastAsia="es-CO"/>
        </w:rPr>
        <w:t xml:space="preserve">lo previsto </w:t>
      </w:r>
      <w:r w:rsidR="00903F26" w:rsidRPr="00F02F06">
        <w:rPr>
          <w:rFonts w:ascii="Arial" w:hAnsi="Arial" w:cs="Arial"/>
          <w:color w:val="000000" w:themeColor="text1"/>
          <w:lang w:eastAsia="es-CO"/>
        </w:rPr>
        <w:t xml:space="preserve">en el </w:t>
      </w:r>
      <w:r w:rsidR="005C6B2A" w:rsidRPr="00F02F06">
        <w:rPr>
          <w:rFonts w:ascii="Arial" w:hAnsi="Arial" w:cs="Arial"/>
          <w:color w:val="000000" w:themeColor="text1"/>
          <w:lang w:eastAsia="es-CO"/>
        </w:rPr>
        <w:t>Manual de Gestión de Riesgo de Crédito del Sistema Integral de Administración de Riesgo – SIAR</w:t>
      </w:r>
      <w:r w:rsidR="003D1BFF" w:rsidRPr="00F02F06">
        <w:rPr>
          <w:rFonts w:ascii="Arial" w:hAnsi="Arial" w:cs="Arial"/>
          <w:color w:val="000000" w:themeColor="text1"/>
          <w:lang w:eastAsia="es-CO"/>
        </w:rPr>
        <w:t>.</w:t>
      </w:r>
    </w:p>
    <w:p w14:paraId="73A2B867" w14:textId="77777777" w:rsidR="005C6B2A" w:rsidRPr="00F02F06" w:rsidRDefault="005C6B2A" w:rsidP="00846C33">
      <w:pPr>
        <w:jc w:val="both"/>
        <w:rPr>
          <w:rFonts w:ascii="Arial" w:hAnsi="Arial" w:cs="Arial"/>
          <w:color w:val="000000" w:themeColor="text1"/>
        </w:rPr>
      </w:pPr>
    </w:p>
    <w:p w14:paraId="03912A14" w14:textId="138A225A" w:rsidR="00846C33" w:rsidRPr="00F02F06" w:rsidRDefault="00846C33" w:rsidP="00846C33">
      <w:pPr>
        <w:jc w:val="both"/>
        <w:rPr>
          <w:rFonts w:ascii="Arial" w:hAnsi="Arial" w:cs="Arial"/>
          <w:color w:val="000000" w:themeColor="text1"/>
          <w:lang w:val="es-ES"/>
        </w:rPr>
      </w:pPr>
      <w:r w:rsidRPr="00F02F06">
        <w:rPr>
          <w:rFonts w:ascii="Arial" w:hAnsi="Arial" w:cs="Arial"/>
          <w:color w:val="000000" w:themeColor="text1"/>
          <w:lang w:val="es-ES"/>
        </w:rPr>
        <w:t>Adicional</w:t>
      </w:r>
      <w:r w:rsidR="000B432B" w:rsidRPr="00F02F06">
        <w:rPr>
          <w:rFonts w:ascii="Arial" w:hAnsi="Arial" w:cs="Arial"/>
          <w:color w:val="000000" w:themeColor="text1"/>
          <w:lang w:val="es-ES"/>
        </w:rPr>
        <w:t>mente</w:t>
      </w:r>
      <w:r w:rsidRPr="00F02F06">
        <w:rPr>
          <w:rFonts w:ascii="Arial" w:hAnsi="Arial" w:cs="Arial"/>
          <w:color w:val="000000" w:themeColor="text1"/>
          <w:lang w:val="es-ES"/>
        </w:rPr>
        <w:t xml:space="preserve">, la certificación de ventas y recaudo del proyecto deberá ser actualizada especificando los cambios presentados </w:t>
      </w:r>
      <w:r w:rsidR="000B432B" w:rsidRPr="00F02F06">
        <w:rPr>
          <w:rFonts w:ascii="Arial" w:hAnsi="Arial" w:cs="Arial"/>
          <w:color w:val="000000" w:themeColor="text1"/>
          <w:lang w:val="es-ES"/>
        </w:rPr>
        <w:t>respecto del</w:t>
      </w:r>
      <w:r w:rsidRPr="00F02F06">
        <w:rPr>
          <w:rFonts w:ascii="Arial" w:hAnsi="Arial" w:cs="Arial"/>
          <w:color w:val="000000" w:themeColor="text1"/>
          <w:lang w:val="es-ES"/>
        </w:rPr>
        <w:t xml:space="preserve"> último informe presentado. Esto se debe</w:t>
      </w:r>
      <w:r w:rsidR="000B432B" w:rsidRPr="00F02F06">
        <w:rPr>
          <w:rFonts w:ascii="Arial" w:hAnsi="Arial" w:cs="Arial"/>
          <w:color w:val="000000" w:themeColor="text1"/>
          <w:lang w:val="es-ES"/>
        </w:rPr>
        <w:t>rá</w:t>
      </w:r>
      <w:r w:rsidRPr="00F02F06">
        <w:rPr>
          <w:rFonts w:ascii="Arial" w:hAnsi="Arial" w:cs="Arial"/>
          <w:color w:val="000000" w:themeColor="text1"/>
          <w:lang w:val="es-ES"/>
        </w:rPr>
        <w:t xml:space="preserve"> acompañar de la actualización de la proyección del Cierre Financiero, especificando </w:t>
      </w:r>
      <w:r w:rsidR="000B432B" w:rsidRPr="00F02F06">
        <w:rPr>
          <w:rFonts w:ascii="Arial" w:hAnsi="Arial" w:cs="Arial"/>
          <w:color w:val="000000" w:themeColor="text1"/>
          <w:lang w:val="es-ES"/>
        </w:rPr>
        <w:t xml:space="preserve">las </w:t>
      </w:r>
      <w:r w:rsidRPr="00F02F06">
        <w:rPr>
          <w:rFonts w:ascii="Arial" w:hAnsi="Arial" w:cs="Arial"/>
          <w:color w:val="000000" w:themeColor="text1"/>
          <w:lang w:val="es-ES"/>
        </w:rPr>
        <w:t xml:space="preserve">variaciones de la proyección inicial con respecto al recaudo realizado y al inventario de unidades. </w:t>
      </w:r>
    </w:p>
    <w:p w14:paraId="7308024D" w14:textId="77777777" w:rsidR="00846C33" w:rsidRPr="00F02F06" w:rsidRDefault="00846C33" w:rsidP="00846C33">
      <w:pPr>
        <w:jc w:val="both"/>
        <w:rPr>
          <w:rFonts w:ascii="Arial" w:hAnsi="Arial" w:cs="Arial"/>
          <w:color w:val="000000" w:themeColor="text1"/>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F02F06" w:rsidRDefault="00EE5D39" w:rsidP="00846C33">
      <w:pPr>
        <w:rPr>
          <w:rFonts w:ascii="Arial" w:hAnsi="Arial" w:cs="Arial"/>
          <w:color w:val="000000" w:themeColor="text1"/>
          <w:lang w:val="es-ES"/>
        </w:rPr>
      </w:pPr>
    </w:p>
    <w:p w14:paraId="5F34C7F8" w14:textId="02B82958" w:rsidR="00EE5D39" w:rsidRPr="00F02F06" w:rsidRDefault="00EE5D39" w:rsidP="00EE5D39">
      <w:pPr>
        <w:jc w:val="both"/>
        <w:rPr>
          <w:rFonts w:ascii="Arial" w:hAnsi="Arial" w:cs="Arial"/>
          <w:b/>
          <w:color w:val="000000" w:themeColor="text1"/>
          <w:lang w:val="es-ES"/>
        </w:rPr>
      </w:pPr>
      <w:r w:rsidRPr="00F02F06">
        <w:rPr>
          <w:rFonts w:ascii="Arial" w:hAnsi="Arial" w:cs="Arial"/>
          <w:b/>
          <w:bCs/>
          <w:color w:val="000000" w:themeColor="text1"/>
          <w:lang w:val="es-ES"/>
        </w:rPr>
        <w:t>5.</w:t>
      </w:r>
      <w:r w:rsidR="00D87F0E" w:rsidRPr="00F02F06">
        <w:rPr>
          <w:rFonts w:ascii="Arial" w:hAnsi="Arial" w:cs="Arial"/>
          <w:b/>
          <w:bCs/>
          <w:color w:val="000000" w:themeColor="text1"/>
          <w:lang w:val="es-ES"/>
        </w:rPr>
        <w:t>11</w:t>
      </w:r>
      <w:r w:rsidRPr="00F02F06">
        <w:rPr>
          <w:rFonts w:ascii="Arial" w:hAnsi="Arial" w:cs="Arial"/>
          <w:b/>
          <w:bCs/>
          <w:color w:val="000000" w:themeColor="text1"/>
          <w:lang w:val="es-ES"/>
        </w:rPr>
        <w:t xml:space="preserve">.2 Solicitud de Desembolso por parte del </w:t>
      </w:r>
      <w:r w:rsidR="000D1D9F" w:rsidRPr="00F02F06">
        <w:rPr>
          <w:rFonts w:ascii="Arial" w:hAnsi="Arial" w:cs="Arial"/>
          <w:b/>
          <w:bCs/>
          <w:color w:val="000000" w:themeColor="text1"/>
          <w:lang w:val="es-ES"/>
        </w:rPr>
        <w:t>S</w:t>
      </w:r>
      <w:r w:rsidR="00DD1E64" w:rsidRPr="00F02F06">
        <w:rPr>
          <w:rFonts w:ascii="Arial" w:hAnsi="Arial" w:cs="Arial"/>
          <w:b/>
          <w:bCs/>
          <w:color w:val="000000" w:themeColor="text1"/>
          <w:lang w:val="es-ES"/>
        </w:rPr>
        <w:t xml:space="preserve">ujeto de </w:t>
      </w:r>
      <w:r w:rsidR="000D1D9F" w:rsidRPr="00F02F06">
        <w:rPr>
          <w:rFonts w:ascii="Arial" w:hAnsi="Arial" w:cs="Arial"/>
          <w:b/>
          <w:bCs/>
          <w:color w:val="000000" w:themeColor="text1"/>
          <w:lang w:val="es-ES"/>
        </w:rPr>
        <w:t>C</w:t>
      </w:r>
      <w:r w:rsidR="012C51A4" w:rsidRPr="00F02F06">
        <w:rPr>
          <w:rFonts w:ascii="Arial" w:hAnsi="Arial" w:cs="Arial"/>
          <w:b/>
          <w:bCs/>
          <w:color w:val="000000" w:themeColor="text1"/>
          <w:lang w:val="es-ES"/>
        </w:rPr>
        <w:t>rédito</w:t>
      </w:r>
    </w:p>
    <w:p w14:paraId="06E85FF2" w14:textId="77777777" w:rsidR="00EE5D39" w:rsidRPr="00BD54B2" w:rsidRDefault="00EE5D39" w:rsidP="00EE5D39">
      <w:pPr>
        <w:jc w:val="both"/>
        <w:rPr>
          <w:rFonts w:ascii="Arial" w:hAnsi="Arial" w:cs="Arial"/>
          <w:lang w:val="es-ES"/>
        </w:rPr>
      </w:pPr>
    </w:p>
    <w:p w14:paraId="1C41DEB6" w14:textId="546F685F" w:rsidR="00EE5D39" w:rsidRPr="00BD54B2" w:rsidRDefault="00846C33" w:rsidP="00EE5D39">
      <w:pPr>
        <w:jc w:val="both"/>
        <w:rPr>
          <w:rFonts w:ascii="Arial" w:hAnsi="Arial" w:cs="Arial"/>
          <w:lang w:val="es-ES"/>
        </w:rPr>
      </w:pPr>
      <w:r w:rsidRPr="00BD54B2">
        <w:rPr>
          <w:rFonts w:ascii="Arial" w:hAnsi="Arial" w:cs="Arial"/>
          <w:lang w:val="es-ES"/>
        </w:rPr>
        <w:t xml:space="preserve">Es obligación del </w:t>
      </w:r>
      <w:r w:rsidR="00DD1E64" w:rsidRPr="009B49F0">
        <w:rPr>
          <w:rFonts w:ascii="Arial" w:hAnsi="Arial" w:cs="Arial"/>
          <w:color w:val="EE0000"/>
          <w:lang w:val="es-ES"/>
        </w:rPr>
        <w:t xml:space="preserve"> </w:t>
      </w:r>
      <w:r w:rsidR="00DD1E64" w:rsidRPr="00F02F06">
        <w:rPr>
          <w:rFonts w:ascii="Arial" w:hAnsi="Arial" w:cs="Arial"/>
          <w:color w:val="000000" w:themeColor="text1"/>
          <w:lang w:val="es-ES"/>
        </w:rPr>
        <w:t xml:space="preserve">sujeto de </w:t>
      </w:r>
      <w:r w:rsidR="009B49F0" w:rsidRPr="00F02F06">
        <w:rPr>
          <w:rFonts w:ascii="Arial" w:hAnsi="Arial" w:cs="Arial"/>
          <w:color w:val="000000" w:themeColor="text1"/>
          <w:lang w:val="es-ES"/>
        </w:rPr>
        <w:t>crédito</w:t>
      </w:r>
      <w:r w:rsidRPr="00F02F06">
        <w:rPr>
          <w:rFonts w:ascii="Arial" w:hAnsi="Arial" w:cs="Arial"/>
          <w:color w:val="000000" w:themeColor="text1"/>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4C5D6FD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w:t>
      </w:r>
      <w:r w:rsidRPr="00F02F06">
        <w:rPr>
          <w:rFonts w:ascii="Arial" w:hAnsi="Arial" w:cs="Arial"/>
          <w:color w:val="000000" w:themeColor="text1"/>
        </w:rPr>
        <w:t>cuales serán pagadas por el</w:t>
      </w:r>
      <w:r w:rsidR="009B49F0" w:rsidRPr="00F02F06">
        <w:rPr>
          <w:rFonts w:ascii="Arial" w:hAnsi="Arial" w:cs="Arial"/>
          <w:color w:val="000000" w:themeColor="text1"/>
        </w:rPr>
        <w:t xml:space="preserve"> sujeto de </w:t>
      </w:r>
      <w:r w:rsidR="004B17DA" w:rsidRPr="00F02F06">
        <w:rPr>
          <w:rFonts w:ascii="Arial" w:hAnsi="Arial" w:cs="Arial"/>
          <w:color w:val="000000" w:themeColor="text1"/>
        </w:rPr>
        <w:t>crédito</w:t>
      </w:r>
      <w:r w:rsidRPr="00F02F06">
        <w:rPr>
          <w:rFonts w:ascii="Arial" w:hAnsi="Arial" w:cs="Arial"/>
          <w:color w:val="000000" w:themeColor="text1"/>
        </w:rPr>
        <w:t>, con la finalidad de calcular el porcentaje de avance de obra y realizar el seguimiento al proceso constructivo del proyecto. Estas visitas se realizarán mínimo una vez cada tres (03) meses</w:t>
      </w:r>
      <w:r w:rsidR="006E4101" w:rsidRPr="00F02F06">
        <w:rPr>
          <w:rFonts w:ascii="Arial" w:hAnsi="Arial" w:cs="Arial"/>
          <w:color w:val="000000" w:themeColor="text1"/>
        </w:rPr>
        <w:t xml:space="preserve"> y</w:t>
      </w:r>
      <w:r w:rsidRPr="00F02F06">
        <w:rPr>
          <w:rFonts w:ascii="Arial" w:hAnsi="Arial" w:cs="Arial"/>
          <w:color w:val="000000" w:themeColor="text1"/>
        </w:rPr>
        <w:t xml:space="preserve"> la periodicidad de estas visitas podrá ser establecida en forma unilateral por parte del </w:t>
      </w:r>
      <w:r w:rsidR="00F055CB" w:rsidRPr="00F02F06">
        <w:rPr>
          <w:rFonts w:ascii="Arial" w:hAnsi="Arial" w:cs="Arial"/>
          <w:color w:val="000000" w:themeColor="text1"/>
        </w:rPr>
        <w:t>Fondo Nacional del Ahorro S.A</w:t>
      </w:r>
      <w:r w:rsidR="001B75AE" w:rsidRPr="00F02F06">
        <w:rPr>
          <w:rFonts w:ascii="Arial" w:hAnsi="Arial" w:cs="Arial"/>
          <w:color w:val="000000" w:themeColor="text1"/>
        </w:rPr>
        <w:t xml:space="preserve">., </w:t>
      </w:r>
      <w:r w:rsidRPr="00F02F06">
        <w:rPr>
          <w:rFonts w:ascii="Arial" w:hAnsi="Arial" w:cs="Arial"/>
          <w:color w:val="000000" w:themeColor="text1"/>
        </w:rPr>
        <w:t>o</w:t>
      </w:r>
      <w:r w:rsidR="006E4101" w:rsidRPr="00F02F06">
        <w:rPr>
          <w:rFonts w:ascii="Arial" w:hAnsi="Arial" w:cs="Arial"/>
          <w:color w:val="000000" w:themeColor="text1"/>
        </w:rPr>
        <w:t>,</w:t>
      </w:r>
      <w:r w:rsidRPr="00F02F06">
        <w:rPr>
          <w:rFonts w:ascii="Arial" w:hAnsi="Arial" w:cs="Arial"/>
          <w:color w:val="000000" w:themeColor="text1"/>
        </w:rPr>
        <w:t xml:space="preserve"> a solicitud del </w:t>
      </w:r>
      <w:r w:rsidR="004B17DA" w:rsidRPr="00F02F06">
        <w:rPr>
          <w:rFonts w:ascii="Arial" w:hAnsi="Arial" w:cs="Arial"/>
          <w:color w:val="000000" w:themeColor="text1"/>
        </w:rPr>
        <w:t>sujeto de crédito</w:t>
      </w:r>
      <w:r w:rsidRPr="00F02F06">
        <w:rPr>
          <w:rFonts w:ascii="Arial" w:hAnsi="Arial" w:cs="Arial"/>
          <w:color w:val="000000" w:themeColor="text1"/>
        </w:rPr>
        <w:t>, y será</w:t>
      </w:r>
      <w:r w:rsidR="006E4101" w:rsidRPr="00F02F06">
        <w:rPr>
          <w:rFonts w:ascii="Arial" w:hAnsi="Arial" w:cs="Arial"/>
          <w:color w:val="000000" w:themeColor="text1"/>
        </w:rPr>
        <w:t xml:space="preserve"> u</w:t>
      </w:r>
      <w:r w:rsidRPr="00F02F06">
        <w:rPr>
          <w:rFonts w:ascii="Arial" w:hAnsi="Arial" w:cs="Arial"/>
          <w:color w:val="000000" w:themeColor="text1"/>
        </w:rPr>
        <w:t>n req</w:t>
      </w:r>
      <w:r w:rsidRPr="00BD54B2">
        <w:rPr>
          <w:rFonts w:ascii="Arial" w:hAnsi="Arial" w:cs="Arial"/>
        </w:rPr>
        <w:t xml:space="preserve">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35AF8754"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el </w:t>
      </w:r>
      <w:r w:rsidR="007E1C14" w:rsidRPr="00F02F06">
        <w:rPr>
          <w:rFonts w:ascii="Arial" w:hAnsi="Arial" w:cs="Arial"/>
          <w:color w:val="000000" w:themeColor="text1"/>
        </w:rPr>
        <w:t xml:space="preserve">sujeto de crédito </w:t>
      </w:r>
      <w:r w:rsidRPr="00BD54B2">
        <w:rPr>
          <w:rFonts w:ascii="Arial" w:hAnsi="Arial" w:cs="Arial"/>
        </w:rPr>
        <w:t>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5"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6"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5"/>
    <w:bookmarkEnd w:id="776"/>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11030F7" w:rsidR="00AD41B7" w:rsidRPr="00F02F06" w:rsidRDefault="00AD41B7" w:rsidP="00AD41B7">
      <w:pPr>
        <w:jc w:val="both"/>
        <w:rPr>
          <w:rFonts w:ascii="Arial" w:hAnsi="Arial" w:cs="Arial"/>
          <w:color w:val="000000" w:themeColor="text1"/>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w:t>
      </w:r>
      <w:r w:rsidRPr="00F02F06">
        <w:rPr>
          <w:rFonts w:ascii="Arial" w:hAnsi="Arial" w:cs="Arial"/>
          <w:color w:val="000000" w:themeColor="text1"/>
        </w:rPr>
        <w:t xml:space="preserve">, el </w:t>
      </w:r>
      <w:r w:rsidR="00B743D8" w:rsidRPr="00F02F06">
        <w:rPr>
          <w:rFonts w:ascii="Arial" w:hAnsi="Arial" w:cs="Arial"/>
          <w:color w:val="000000" w:themeColor="text1"/>
        </w:rPr>
        <w:t>sujeto de crédito</w:t>
      </w:r>
      <w:r w:rsidRPr="00F02F06">
        <w:rPr>
          <w:rFonts w:ascii="Arial" w:hAnsi="Arial" w:cs="Arial"/>
          <w:color w:val="000000" w:themeColor="text1"/>
        </w:rPr>
        <w:t xml:space="preserve"> deberá abonar al saldo del crédito los valores que corresponden a las prorratas de l</w:t>
      </w:r>
      <w:r w:rsidR="00C570AD" w:rsidRPr="00F02F06">
        <w:rPr>
          <w:rFonts w:ascii="Arial" w:hAnsi="Arial" w:cs="Arial"/>
          <w:color w:val="000000" w:themeColor="text1"/>
        </w:rPr>
        <w:t xml:space="preserve">as </w:t>
      </w:r>
      <w:r w:rsidR="00197FA6" w:rsidRPr="00F02F06">
        <w:rPr>
          <w:rFonts w:ascii="Arial" w:hAnsi="Arial" w:cs="Arial"/>
          <w:color w:val="000000" w:themeColor="text1"/>
        </w:rPr>
        <w:t xml:space="preserve">unidades </w:t>
      </w:r>
      <w:r w:rsidRPr="00F02F06">
        <w:rPr>
          <w:rFonts w:ascii="Arial" w:hAnsi="Arial" w:cs="Arial"/>
          <w:color w:val="000000" w:themeColor="text1"/>
        </w:rPr>
        <w:t>que fueron vendidos de contado, y si los compradores financia</w:t>
      </w:r>
      <w:r w:rsidR="00197FA6" w:rsidRPr="00F02F06">
        <w:rPr>
          <w:rFonts w:ascii="Arial" w:hAnsi="Arial" w:cs="Arial"/>
          <w:color w:val="000000" w:themeColor="text1"/>
        </w:rPr>
        <w:t>n la adquisición</w:t>
      </w:r>
      <w:r w:rsidRPr="00F02F06">
        <w:rPr>
          <w:rFonts w:ascii="Arial" w:hAnsi="Arial" w:cs="Arial"/>
          <w:color w:val="000000" w:themeColor="text1"/>
        </w:rPr>
        <w:t xml:space="preserve"> con otra</w:t>
      </w:r>
      <w:r w:rsidR="00197FA6" w:rsidRPr="00F02F06">
        <w:rPr>
          <w:rFonts w:ascii="Arial" w:hAnsi="Arial" w:cs="Arial"/>
          <w:color w:val="000000" w:themeColor="text1"/>
        </w:rPr>
        <w:t>s</w:t>
      </w:r>
      <w:r w:rsidRPr="00F02F06">
        <w:rPr>
          <w:rFonts w:ascii="Arial" w:hAnsi="Arial" w:cs="Arial"/>
          <w:color w:val="000000" w:themeColor="text1"/>
        </w:rPr>
        <w:t xml:space="preserve"> entidades, deberán presentar la carta de compromiso para la liberación</w:t>
      </w:r>
      <w:r w:rsidRPr="00F02F06">
        <w:rPr>
          <w:color w:val="000000" w:themeColor="text1"/>
        </w:rPr>
        <w:t xml:space="preserve">, </w:t>
      </w:r>
      <w:r w:rsidRPr="00F02F06">
        <w:rPr>
          <w:rFonts w:ascii="Arial" w:hAnsi="Arial" w:cs="Arial"/>
          <w:color w:val="000000" w:themeColor="text1"/>
          <w:lang w:eastAsia="es-CO"/>
        </w:rPr>
        <w:t>además de efectuar el pago de la diferencia de prorrata que corresponda.</w:t>
      </w:r>
      <w:r w:rsidRPr="00F02F06">
        <w:rPr>
          <w:color w:val="000000" w:themeColor="text1"/>
        </w:rPr>
        <w:t xml:space="preserve"> </w:t>
      </w:r>
      <w:r w:rsidRPr="00F02F06">
        <w:rPr>
          <w:rFonts w:ascii="Arial" w:hAnsi="Arial" w:cs="Arial"/>
          <w:color w:val="000000" w:themeColor="text1"/>
        </w:rPr>
        <w:t>Estos pagos se efectuarán conforme al valor que corresponda en la fecha de realización del pago.</w:t>
      </w:r>
    </w:p>
    <w:p w14:paraId="3AA6ECCF" w14:textId="77777777" w:rsidR="00AD41B7" w:rsidRPr="00F02F06" w:rsidRDefault="00AD41B7" w:rsidP="00AD41B7">
      <w:pPr>
        <w:pStyle w:val="Prrafodelista"/>
        <w:ind w:left="435"/>
        <w:rPr>
          <w:rFonts w:eastAsia="Times New Roman"/>
          <w:color w:val="000000" w:themeColor="text1"/>
          <w:lang w:val="es-CO"/>
        </w:rPr>
      </w:pPr>
    </w:p>
    <w:p w14:paraId="30D7945F" w14:textId="4605F392" w:rsidR="00AD41B7" w:rsidRPr="00BD54B2" w:rsidRDefault="00AD41B7" w:rsidP="00AD41B7">
      <w:pPr>
        <w:jc w:val="both"/>
        <w:rPr>
          <w:rFonts w:ascii="Arial" w:hAnsi="Arial" w:cs="Arial"/>
          <w:lang w:eastAsia="es-CO"/>
        </w:rPr>
      </w:pPr>
      <w:r w:rsidRPr="00F02F06">
        <w:rPr>
          <w:rFonts w:ascii="Arial" w:hAnsi="Arial" w:cs="Arial"/>
          <w:color w:val="000000" w:themeColor="text1"/>
          <w:lang w:eastAsia="es-CO"/>
        </w:rPr>
        <w:t xml:space="preserve">La facturación del valor de la prorrata o diferencia de </w:t>
      </w:r>
      <w:r w:rsidR="00476987" w:rsidRPr="00F02F06">
        <w:rPr>
          <w:rFonts w:ascii="Arial" w:hAnsi="Arial" w:cs="Arial"/>
          <w:color w:val="000000" w:themeColor="text1"/>
          <w:lang w:eastAsia="es-CO"/>
        </w:rPr>
        <w:t>prorrata podrá</w:t>
      </w:r>
      <w:r w:rsidRPr="00F02F06">
        <w:rPr>
          <w:rFonts w:ascii="Arial" w:hAnsi="Arial" w:cs="Arial"/>
          <w:color w:val="000000" w:themeColor="text1"/>
          <w:lang w:eastAsia="es-CO"/>
        </w:rPr>
        <w:t xml:space="preserve"> ser solicitad</w:t>
      </w:r>
      <w:r w:rsidR="00D74C39" w:rsidRPr="00F02F06">
        <w:rPr>
          <w:rFonts w:ascii="Arial" w:hAnsi="Arial" w:cs="Arial"/>
          <w:color w:val="000000" w:themeColor="text1"/>
          <w:lang w:eastAsia="es-CO"/>
        </w:rPr>
        <w:t>a,</w:t>
      </w:r>
      <w:r w:rsidRPr="00F02F06">
        <w:rPr>
          <w:rFonts w:ascii="Arial" w:hAnsi="Arial" w:cs="Arial"/>
          <w:color w:val="000000" w:themeColor="text1"/>
          <w:lang w:eastAsia="es-CO"/>
        </w:rPr>
        <w:t xml:space="preserve"> en cualquier momento</w:t>
      </w:r>
      <w:r w:rsidR="00D74C39" w:rsidRPr="00F02F06">
        <w:rPr>
          <w:rFonts w:ascii="Arial" w:hAnsi="Arial" w:cs="Arial"/>
          <w:color w:val="000000" w:themeColor="text1"/>
          <w:lang w:eastAsia="es-CO"/>
        </w:rPr>
        <w:t>,</w:t>
      </w:r>
      <w:r w:rsidRPr="00F02F06">
        <w:rPr>
          <w:rFonts w:ascii="Arial" w:hAnsi="Arial" w:cs="Arial"/>
          <w:color w:val="000000" w:themeColor="text1"/>
          <w:lang w:eastAsia="es-CO"/>
        </w:rPr>
        <w:t xml:space="preserve"> por el </w:t>
      </w:r>
      <w:r w:rsidR="00667B91" w:rsidRPr="00F02F06">
        <w:rPr>
          <w:rFonts w:ascii="Arial" w:hAnsi="Arial" w:cs="Arial"/>
          <w:color w:val="000000" w:themeColor="text1"/>
          <w:lang w:eastAsia="es-CO"/>
        </w:rPr>
        <w:t xml:space="preserve">sujeto de crédito </w:t>
      </w:r>
      <w:r w:rsidR="00D74C39" w:rsidRPr="00F02F06">
        <w:rPr>
          <w:rFonts w:ascii="Arial" w:hAnsi="Arial" w:cs="Arial"/>
          <w:color w:val="000000" w:themeColor="text1"/>
          <w:lang w:eastAsia="es-CO"/>
        </w:rPr>
        <w:t>al F</w:t>
      </w:r>
      <w:r w:rsidR="00197FA6" w:rsidRPr="00F02F06">
        <w:rPr>
          <w:rFonts w:ascii="Arial" w:hAnsi="Arial" w:cs="Arial"/>
          <w:color w:val="000000" w:themeColor="text1"/>
          <w:lang w:eastAsia="es-CO"/>
        </w:rPr>
        <w:t xml:space="preserve">ondo </w:t>
      </w:r>
      <w:r w:rsidR="00D74C39" w:rsidRPr="00F02F06">
        <w:rPr>
          <w:rFonts w:ascii="Arial" w:hAnsi="Arial" w:cs="Arial"/>
          <w:color w:val="000000" w:themeColor="text1"/>
          <w:lang w:eastAsia="es-CO"/>
        </w:rPr>
        <w:t>N</w:t>
      </w:r>
      <w:r w:rsidR="00197FA6" w:rsidRPr="00F02F06">
        <w:rPr>
          <w:rFonts w:ascii="Arial" w:hAnsi="Arial" w:cs="Arial"/>
          <w:color w:val="000000" w:themeColor="text1"/>
          <w:lang w:eastAsia="es-CO"/>
        </w:rPr>
        <w:t xml:space="preserve">acional del </w:t>
      </w:r>
      <w:r w:rsidR="00D74C39" w:rsidRPr="00F02F06">
        <w:rPr>
          <w:rFonts w:ascii="Arial" w:hAnsi="Arial" w:cs="Arial"/>
          <w:color w:val="000000" w:themeColor="text1"/>
          <w:lang w:eastAsia="es-CO"/>
        </w:rPr>
        <w:t>A</w:t>
      </w:r>
      <w:r w:rsidR="00197FA6" w:rsidRPr="00F02F06">
        <w:rPr>
          <w:rFonts w:ascii="Arial" w:hAnsi="Arial" w:cs="Arial"/>
          <w:color w:val="000000" w:themeColor="text1"/>
          <w:lang w:eastAsia="es-CO"/>
        </w:rPr>
        <w:t>horro S.A.,</w:t>
      </w:r>
      <w:r w:rsidRPr="00F02F06">
        <w:rPr>
          <w:rFonts w:ascii="Arial" w:hAnsi="Arial" w:cs="Arial"/>
          <w:color w:val="000000" w:themeColor="text1"/>
          <w:lang w:eastAsia="es-CO"/>
        </w:rPr>
        <w:t xml:space="preserve"> sin embargo, se debe tener en cuenta que si el pago no es efectuado por el</w:t>
      </w:r>
      <w:r w:rsidR="00667B91" w:rsidRPr="00F02F06">
        <w:rPr>
          <w:rFonts w:ascii="Arial" w:hAnsi="Arial" w:cs="Arial"/>
          <w:color w:val="000000" w:themeColor="text1"/>
          <w:lang w:eastAsia="es-CO"/>
        </w:rPr>
        <w:t xml:space="preserve"> sujeto de crédito</w:t>
      </w:r>
      <w:r w:rsidRPr="00F02F06">
        <w:rPr>
          <w:rFonts w:ascii="Arial" w:hAnsi="Arial" w:cs="Arial"/>
          <w:color w:val="000000" w:themeColor="text1"/>
          <w:lang w:eastAsia="es-CO"/>
        </w:rPr>
        <w:t xml:space="preserve"> en la fecha </w:t>
      </w:r>
      <w:r w:rsidR="00D74C39" w:rsidRPr="00F02F06">
        <w:rPr>
          <w:rFonts w:ascii="Arial" w:hAnsi="Arial" w:cs="Arial"/>
          <w:color w:val="000000" w:themeColor="text1"/>
          <w:lang w:eastAsia="es-CO"/>
        </w:rPr>
        <w:t>en la</w:t>
      </w:r>
      <w:r w:rsidRPr="00F02F06">
        <w:rPr>
          <w:rFonts w:ascii="Arial" w:hAnsi="Arial" w:cs="Arial"/>
          <w:color w:val="000000" w:themeColor="text1"/>
          <w:lang w:eastAsia="es-CO"/>
        </w:rPr>
        <w:t xml:space="preserve"> que est</w:t>
      </w:r>
      <w:r w:rsidR="00D74C39" w:rsidRPr="00F02F06">
        <w:rPr>
          <w:rFonts w:ascii="Arial" w:hAnsi="Arial" w:cs="Arial"/>
          <w:color w:val="000000" w:themeColor="text1"/>
          <w:lang w:eastAsia="es-CO"/>
        </w:rPr>
        <w:t>uviere</w:t>
      </w:r>
      <w:r w:rsidRPr="00F02F06">
        <w:rPr>
          <w:rFonts w:ascii="Arial" w:hAnsi="Arial" w:cs="Arial"/>
          <w:color w:val="000000" w:themeColor="text1"/>
          <w:lang w:eastAsia="es-CO"/>
        </w:rPr>
        <w:t xml:space="preserve"> proyectada la</w:t>
      </w:r>
      <w:r w:rsidR="00D74C39" w:rsidRPr="00F02F06">
        <w:rPr>
          <w:rFonts w:ascii="Arial" w:hAnsi="Arial" w:cs="Arial"/>
          <w:color w:val="000000" w:themeColor="text1"/>
          <w:lang w:eastAsia="es-CO"/>
        </w:rPr>
        <w:t xml:space="preserve"> generación de la</w:t>
      </w:r>
      <w:r w:rsidRPr="00F02F06">
        <w:rPr>
          <w:rFonts w:ascii="Arial" w:hAnsi="Arial" w:cs="Arial"/>
          <w:color w:val="000000" w:themeColor="text1"/>
          <w:lang w:eastAsia="es-CO"/>
        </w:rPr>
        <w:t xml:space="preserve"> factura, los valores p</w:t>
      </w:r>
      <w:r w:rsidR="00D74C39" w:rsidRPr="00F02F06">
        <w:rPr>
          <w:rFonts w:ascii="Arial" w:hAnsi="Arial" w:cs="Arial"/>
          <w:color w:val="000000" w:themeColor="text1"/>
          <w:lang w:eastAsia="es-CO"/>
        </w:rPr>
        <w:t>odrán variar,</w:t>
      </w:r>
      <w:r w:rsidRPr="00F02F06">
        <w:rPr>
          <w:rFonts w:ascii="Arial" w:hAnsi="Arial" w:cs="Arial"/>
          <w:color w:val="000000" w:themeColor="text1"/>
          <w:lang w:eastAsia="es-CO"/>
        </w:rPr>
        <w:t xml:space="preserve"> teniendo en cuenta que los créditos </w:t>
      </w:r>
      <w:r w:rsidRPr="00BD54B2">
        <w:rPr>
          <w:rFonts w:ascii="Arial" w:hAnsi="Arial" w:cs="Arial"/>
          <w:lang w:eastAsia="es-CO"/>
        </w:rPr>
        <w:t>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40498CA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841322" w:rsidRPr="00F02F06">
        <w:rPr>
          <w:rFonts w:ascii="Arial" w:hAnsi="Arial" w:cs="Arial"/>
          <w:color w:val="000000" w:themeColor="text1"/>
          <w:lang w:val="es-CO" w:eastAsia="es-CO"/>
        </w:rPr>
        <w:t>el</w:t>
      </w:r>
      <w:r w:rsidR="00841322">
        <w:rPr>
          <w:rFonts w:ascii="Arial" w:hAnsi="Arial" w:cs="Arial"/>
          <w:color w:val="EE0000"/>
          <w:lang w:val="es-CO" w:eastAsia="es-CO"/>
        </w:rPr>
        <w:t xml:space="preserve">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el Fondo Nacional del 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090BEAE9"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w:t>
      </w:r>
      <w:r w:rsidRPr="00F02F06">
        <w:rPr>
          <w:rFonts w:ascii="Arial" w:hAnsi="Arial" w:cs="Arial"/>
          <w:color w:val="000000" w:themeColor="text1"/>
        </w:rPr>
        <w:t xml:space="preserve">al </w:t>
      </w:r>
      <w:r w:rsidR="007C4B85" w:rsidRPr="00F02F06">
        <w:rPr>
          <w:rFonts w:ascii="Arial" w:hAnsi="Arial" w:cs="Arial"/>
          <w:color w:val="000000" w:themeColor="text1"/>
        </w:rPr>
        <w:t xml:space="preserve">sujeto de crédito </w:t>
      </w:r>
      <w:r w:rsidRPr="00BD54B2">
        <w:rPr>
          <w:rFonts w:ascii="Arial" w:hAnsi="Arial" w:cs="Arial"/>
        </w:rPr>
        <w:t xml:space="preserve">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358FAD43" w:rsidR="00EE5D39" w:rsidRPr="007C46BA" w:rsidRDefault="00786490" w:rsidP="00786490">
      <w:pPr>
        <w:rPr>
          <w:rFonts w:ascii="Arial" w:hAnsi="Arial" w:cs="Arial"/>
          <w:b/>
          <w:bCs/>
        </w:rPr>
      </w:pPr>
      <w:bookmarkStart w:id="777" w:name="_Hlk192663654"/>
      <w:r w:rsidRPr="007C46BA">
        <w:rPr>
          <w:rFonts w:ascii="Arial" w:hAnsi="Arial" w:cs="Arial"/>
          <w:b/>
          <w:bCs/>
        </w:rPr>
        <w:t>5.14</w:t>
      </w:r>
      <w:r w:rsidR="00EE5D39" w:rsidRPr="007C46BA">
        <w:rPr>
          <w:rFonts w:ascii="Arial" w:hAnsi="Arial" w:cs="Arial"/>
          <w:b/>
          <w:bCs/>
        </w:rPr>
        <w:t xml:space="preserve"> OBLIGACIONES </w:t>
      </w:r>
      <w:r w:rsidR="00EE5D39" w:rsidRPr="00F02F06">
        <w:rPr>
          <w:rFonts w:ascii="Arial" w:hAnsi="Arial" w:cs="Arial"/>
          <w:b/>
          <w:bCs/>
          <w:color w:val="000000" w:themeColor="text1"/>
        </w:rPr>
        <w:t xml:space="preserve">DEL </w:t>
      </w:r>
      <w:r w:rsidR="008B2922" w:rsidRPr="00F02F06">
        <w:rPr>
          <w:rFonts w:ascii="Arial" w:hAnsi="Arial" w:cs="Arial"/>
          <w:b/>
          <w:bCs/>
          <w:color w:val="000000" w:themeColor="text1"/>
        </w:rPr>
        <w:t>SUJETO DE CR</w:t>
      </w:r>
      <w:r w:rsidR="554E4230" w:rsidRPr="00F02F06">
        <w:rPr>
          <w:rFonts w:ascii="Arial" w:hAnsi="Arial" w:cs="Arial"/>
          <w:b/>
          <w:bCs/>
          <w:color w:val="000000" w:themeColor="text1"/>
        </w:rPr>
        <w:t>É</w:t>
      </w:r>
      <w:r w:rsidR="008B2922" w:rsidRPr="00F02F06">
        <w:rPr>
          <w:rFonts w:ascii="Arial" w:hAnsi="Arial" w:cs="Arial"/>
          <w:b/>
          <w:bCs/>
          <w:color w:val="000000" w:themeColor="text1"/>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8"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7"/>
    <w:bookmarkEnd w:id="778"/>
    <w:p w14:paraId="670F01A7" w14:textId="77777777" w:rsidR="00F579F9" w:rsidRPr="00BD54B2" w:rsidRDefault="00F579F9" w:rsidP="00F579F9">
      <w:pPr>
        <w:pStyle w:val="Prrafodelista"/>
        <w:tabs>
          <w:tab w:val="left" w:pos="284"/>
        </w:tabs>
      </w:pPr>
    </w:p>
    <w:p w14:paraId="45BF59FB" w14:textId="03C866A5"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w:t>
      </w:r>
      <w:r w:rsidRPr="000125FA">
        <w:rPr>
          <w:color w:val="000000" w:themeColor="text1"/>
        </w:rPr>
        <w:t xml:space="preserve">el </w:t>
      </w:r>
      <w:r w:rsidR="00C446DC" w:rsidRPr="000125FA">
        <w:rPr>
          <w:color w:val="000000" w:themeColor="text1"/>
        </w:rPr>
        <w:t xml:space="preserve">sujeto de </w:t>
      </w:r>
      <w:r w:rsidR="092E326A" w:rsidRPr="000125FA">
        <w:rPr>
          <w:color w:val="000000" w:themeColor="text1"/>
        </w:rPr>
        <w:t>crédito</w:t>
      </w:r>
      <w:r w:rsidRPr="000125FA">
        <w:rPr>
          <w:color w:val="000000" w:themeColor="text1"/>
        </w:rPr>
        <w:t xml:space="preserve"> </w:t>
      </w:r>
      <w:r w:rsidRPr="00BD54B2">
        <w:t>no lo hiciere, este autoriza a la Sociedad, a ejercer cualquiera de las siguientes opciones:</w:t>
      </w:r>
    </w:p>
    <w:p w14:paraId="58EBC4C1" w14:textId="77777777" w:rsidR="00F579F9" w:rsidRPr="00BD54B2" w:rsidRDefault="00F579F9" w:rsidP="00F579F9">
      <w:pPr>
        <w:pStyle w:val="Prrafodelista"/>
      </w:pPr>
    </w:p>
    <w:p w14:paraId="67E80065" w14:textId="73A8F725"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w:t>
      </w:r>
      <w:r w:rsidRPr="000125FA">
        <w:rPr>
          <w:rFonts w:ascii="Arial" w:hAnsi="Arial" w:cs="Arial"/>
          <w:color w:val="000000" w:themeColor="text1"/>
        </w:rPr>
        <w:t xml:space="preserve">notificar al </w:t>
      </w:r>
      <w:r w:rsidR="00C446DC" w:rsidRPr="000125FA">
        <w:rPr>
          <w:rFonts w:ascii="Arial" w:eastAsia="Arial" w:hAnsi="Arial" w:cs="Arial"/>
          <w:color w:val="000000" w:themeColor="text1"/>
          <w:lang w:val="es-MX"/>
        </w:rPr>
        <w:t xml:space="preserve">sujeto de </w:t>
      </w:r>
      <w:r w:rsidR="4810248C" w:rsidRPr="000125FA">
        <w:rPr>
          <w:rFonts w:ascii="Arial" w:eastAsia="Arial" w:hAnsi="Arial" w:cs="Arial"/>
          <w:color w:val="000000" w:themeColor="text1"/>
          <w:lang w:val="es-MX"/>
        </w:rPr>
        <w:t>crédito</w:t>
      </w:r>
      <w:r w:rsidRPr="000125FA">
        <w:rPr>
          <w:rFonts w:ascii="Arial" w:eastAsia="Arial" w:hAnsi="Arial" w:cs="Arial"/>
          <w:color w:val="000000" w:themeColor="text1"/>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49019066"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w:t>
      </w:r>
      <w:r w:rsidRPr="000125FA">
        <w:rPr>
          <w:rFonts w:ascii="Arial" w:hAnsi="Arial" w:cs="Arial"/>
          <w:color w:val="000000" w:themeColor="text1"/>
        </w:rPr>
        <w:t xml:space="preserve">situación, el </w:t>
      </w:r>
      <w:r w:rsidR="00C446DC" w:rsidRPr="000125FA">
        <w:rPr>
          <w:rFonts w:ascii="Arial" w:eastAsia="Arial" w:hAnsi="Arial" w:cs="Arial"/>
          <w:color w:val="000000" w:themeColor="text1"/>
          <w:lang w:val="es-MX"/>
        </w:rPr>
        <w:t xml:space="preserve">sujeto de </w:t>
      </w:r>
      <w:r w:rsidR="1C4D74CE" w:rsidRPr="000125FA">
        <w:rPr>
          <w:rFonts w:ascii="Arial" w:eastAsia="Arial" w:hAnsi="Arial" w:cs="Arial"/>
          <w:color w:val="000000" w:themeColor="text1"/>
          <w:lang w:val="es-MX"/>
        </w:rPr>
        <w:t>crédito</w:t>
      </w:r>
      <w:r w:rsidRPr="000125FA">
        <w:rPr>
          <w:rFonts w:ascii="Arial" w:hAnsi="Arial" w:cs="Arial"/>
          <w:color w:val="000000" w:themeColor="text1"/>
        </w:rPr>
        <w:t xml:space="preserve"> </w:t>
      </w:r>
      <w:r w:rsidRPr="00BD54B2">
        <w:rPr>
          <w:rFonts w:ascii="Arial" w:hAnsi="Arial" w:cs="Arial"/>
        </w:rPr>
        <w:t>se obliga a reembolsar al Fondo Nacional del Ahorro S.A., los valores asumidos por dicha causa.</w:t>
      </w:r>
    </w:p>
    <w:p w14:paraId="14E5C598" w14:textId="7D52CC05" w:rsidR="00F579F9"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r w:rsidR="00BE1A71">
        <w:t xml:space="preserve"> en caso </w:t>
      </w:r>
      <w:r w:rsidR="6E122B85">
        <w:t xml:space="preserve">de </w:t>
      </w:r>
      <w:r w:rsidR="00BE1A71">
        <w:t>que aplique.</w:t>
      </w:r>
    </w:p>
    <w:p w14:paraId="1B5A0429" w14:textId="77777777" w:rsidR="0011150C" w:rsidRPr="00BD54B2" w:rsidRDefault="0011150C" w:rsidP="0011150C">
      <w:pPr>
        <w:pStyle w:val="Prrafodelista"/>
        <w:tabs>
          <w:tab w:val="left" w:pos="426"/>
        </w:tabs>
        <w:spacing w:after="160" w:line="259" w:lineRule="auto"/>
        <w:ind w:left="0"/>
        <w:contextualSpacing/>
      </w:pP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rPr>
          <w:rFonts w:ascii="Arial" w:eastAsia="Arial" w:hAnsi="Arial" w:cs="Arial"/>
          <w:b/>
          <w:bCs/>
          <w:lang w:val="es-MX"/>
        </w:rPr>
      </w:pPr>
      <w:r w:rsidRPr="5BFFA4DA">
        <w:rPr>
          <w:rFonts w:ascii="Arial" w:eastAsia="Arial" w:hAnsi="Arial" w:cs="Arial"/>
          <w:b/>
          <w:bCs/>
          <w:lang w:val="es-MX"/>
        </w:rPr>
        <w:t xml:space="preserve"> </w:t>
      </w:r>
    </w:p>
    <w:p w14:paraId="63C7D7C1" w14:textId="77777777" w:rsidR="00DB78D2" w:rsidRDefault="00DB78D2" w:rsidP="5BFFA4DA">
      <w:pPr>
        <w:jc w:val="both"/>
      </w:pP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7C99E49F" w14:textId="77777777" w:rsidR="00DB78D2" w:rsidRDefault="00DB78D2"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t>Mora en las obligaciones con el Fondo Nacional del Ahorro S.A.</w:t>
      </w:r>
    </w:p>
    <w:p w14:paraId="41288E25" w14:textId="77777777" w:rsidR="006735B4" w:rsidRDefault="5834AFEC" w:rsidP="00BC41AD">
      <w:pPr>
        <w:pStyle w:val="Prrafodelista"/>
        <w:numPr>
          <w:ilvl w:val="1"/>
          <w:numId w:val="46"/>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1271ABB" w14:textId="77777777" w:rsidR="0011150C" w:rsidRDefault="0011150C" w:rsidP="1B614E54">
      <w:pPr>
        <w:spacing w:after="160" w:line="254" w:lineRule="auto"/>
        <w:jc w:val="both"/>
        <w:rPr>
          <w:rFonts w:ascii="Arial" w:eastAsia="Arial" w:hAnsi="Arial" w:cs="Arial"/>
          <w:b/>
          <w:bCs/>
        </w:rPr>
      </w:pPr>
    </w:p>
    <w:p w14:paraId="4B642035" w14:textId="2C227674"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6DAE8FD2" w14:textId="675E6A57"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6.6.2 </w:t>
      </w:r>
      <w:r w:rsidR="20D6D648"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20D6D648"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contados a partir de la notificación de la misma.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797FF34B"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5B8238EE"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9"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1528FA0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w:t>
            </w:r>
            <w:r w:rsidR="00AB5A22">
              <w:rPr>
                <w:rFonts w:ascii="Arial" w:hAnsi="Arial" w:cs="Arial"/>
                <w:lang w:val="es-ES"/>
              </w:rPr>
              <w:t xml:space="preserve">  1011</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r w:rsidR="00C20F55">
              <w:rPr>
                <w:rFonts w:ascii="Arial" w:hAnsi="Arial" w:cs="Arial"/>
                <w:bCs/>
                <w:lang w:val="es-ES"/>
              </w:rPr>
              <w:t xml:space="preserve"> y 1016</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9"/>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448CE973" w:rsidR="00BE1A71" w:rsidRPr="000125FA" w:rsidRDefault="00BE1A71" w:rsidP="002C557C">
            <w:pPr>
              <w:pStyle w:val="nivel1"/>
              <w:spacing w:before="60" w:after="60" w:line="240" w:lineRule="auto"/>
              <w:ind w:firstLine="0"/>
              <w:rPr>
                <w:rFonts w:ascii="Arial" w:hAnsi="Arial" w:cs="Arial"/>
                <w:color w:val="000000" w:themeColor="text1"/>
                <w:sz w:val="24"/>
                <w:szCs w:val="24"/>
              </w:rPr>
            </w:pPr>
            <w:r w:rsidRPr="000125FA">
              <w:rPr>
                <w:rFonts w:ascii="Arial" w:hAnsi="Arial" w:cs="Arial"/>
                <w:bCs/>
                <w:color w:val="000000" w:themeColor="text1"/>
                <w:lang w:eastAsia="es-CO"/>
              </w:rPr>
              <w:t xml:space="preserve">SUJETO DE </w:t>
            </w:r>
            <w:r w:rsidRPr="000125FA">
              <w:rPr>
                <w:rFonts w:ascii="Arial" w:hAnsi="Arial" w:cs="Arial"/>
                <w:color w:val="000000" w:themeColor="text1"/>
                <w:lang w:eastAsia="es-CO"/>
              </w:rPr>
              <w:t>CR</w:t>
            </w:r>
            <w:r w:rsidR="41BF6A23" w:rsidRPr="000125FA">
              <w:rPr>
                <w:rFonts w:ascii="Arial" w:hAnsi="Arial" w:cs="Arial"/>
                <w:color w:val="000000" w:themeColor="text1"/>
                <w:lang w:eastAsia="es-CO"/>
              </w:rPr>
              <w:t>É</w:t>
            </w:r>
            <w:r w:rsidRPr="000125FA">
              <w:rPr>
                <w:rFonts w:ascii="Arial" w:hAnsi="Arial" w:cs="Arial"/>
                <w:color w:val="000000" w:themeColor="text1"/>
                <w:lang w:eastAsia="es-CO"/>
              </w:rPr>
              <w:t>DITO</w:t>
            </w:r>
          </w:p>
        </w:tc>
        <w:tc>
          <w:tcPr>
            <w:tcW w:w="6616" w:type="dxa"/>
            <w:gridSpan w:val="2"/>
            <w:tcBorders>
              <w:left w:val="single" w:sz="4" w:space="0" w:color="auto"/>
              <w:bottom w:val="single" w:sz="4" w:space="0" w:color="auto"/>
            </w:tcBorders>
          </w:tcPr>
          <w:p w14:paraId="061637B2" w14:textId="72B39920" w:rsidR="00770D68" w:rsidRPr="000125FA" w:rsidRDefault="006E7121" w:rsidP="00770D68">
            <w:pPr>
              <w:jc w:val="both"/>
              <w:rPr>
                <w:rFonts w:ascii="Arial" w:hAnsi="Arial" w:cs="Arial"/>
                <w:color w:val="000000" w:themeColor="text1"/>
              </w:rPr>
            </w:pPr>
            <w:r w:rsidRPr="000125FA">
              <w:rPr>
                <w:rFonts w:ascii="Arial" w:hAnsi="Arial" w:cs="Arial"/>
                <w:color w:val="000000" w:themeColor="text1"/>
                <w:lang w:eastAsia="es-CO"/>
              </w:rPr>
              <w:t>Persona jurídica y/o natural con establecimiento de comercio,</w:t>
            </w:r>
            <w:r w:rsidR="00932C19" w:rsidRPr="000125FA">
              <w:rPr>
                <w:rFonts w:ascii="Arial" w:hAnsi="Arial" w:cs="Arial"/>
                <w:color w:val="000000" w:themeColor="text1"/>
                <w:lang w:eastAsia="es-CO"/>
              </w:rPr>
              <w:t xml:space="preserve"> </w:t>
            </w:r>
            <w:r w:rsidRPr="000125FA">
              <w:rPr>
                <w:rFonts w:ascii="Arial" w:hAnsi="Arial" w:cs="Arial"/>
                <w:color w:val="000000" w:themeColor="text1"/>
                <w:lang w:eastAsia="es-CO"/>
              </w:rPr>
              <w:t>que tenga dentro de su objeto</w:t>
            </w:r>
            <w:r w:rsidR="000C7961" w:rsidRPr="000125FA">
              <w:rPr>
                <w:rFonts w:ascii="Arial" w:hAnsi="Arial" w:cs="Arial"/>
                <w:color w:val="000000" w:themeColor="text1"/>
              </w:rPr>
              <w:t xml:space="preserve"> la actividad de promoción, venta y construcción de proyectos de </w:t>
            </w:r>
            <w:r w:rsidR="000C7961" w:rsidRPr="000125FA">
              <w:rPr>
                <w:rFonts w:ascii="Arial" w:hAnsi="Arial" w:cs="Arial"/>
                <w:color w:val="000000" w:themeColor="text1"/>
                <w:lang w:eastAsia="es-CO"/>
              </w:rPr>
              <w:t>vivienda</w:t>
            </w:r>
            <w:r w:rsidRPr="000125FA">
              <w:rPr>
                <w:rFonts w:ascii="Arial" w:hAnsi="Arial" w:cs="Arial"/>
                <w:color w:val="000000" w:themeColor="text1"/>
                <w:lang w:eastAsia="es-CO"/>
              </w:rPr>
              <w:t xml:space="preserve"> a nivel nacional</w:t>
            </w:r>
            <w:r w:rsidR="00932C19" w:rsidRPr="000125FA">
              <w:rPr>
                <w:rFonts w:ascii="Arial" w:hAnsi="Arial" w:cs="Arial"/>
                <w:color w:val="000000" w:themeColor="text1"/>
                <w:lang w:eastAsia="es-CO"/>
              </w:rPr>
              <w:t xml:space="preserve"> y/o Patrimonio </w:t>
            </w:r>
            <w:r w:rsidR="005E40E8" w:rsidRPr="000125FA">
              <w:rPr>
                <w:rFonts w:ascii="Arial" w:hAnsi="Arial" w:cs="Arial"/>
                <w:color w:val="000000" w:themeColor="text1"/>
                <w:lang w:eastAsia="es-CO"/>
              </w:rPr>
              <w:t xml:space="preserve">Autónomo en calidad de </w:t>
            </w:r>
            <w:r w:rsidR="00770D68" w:rsidRPr="000125FA">
              <w:rPr>
                <w:rFonts w:ascii="Arial" w:hAnsi="Arial" w:cs="Arial"/>
                <w:color w:val="000000" w:themeColor="text1"/>
              </w:rPr>
              <w:t>promotor del proyecto inmobiliario.</w:t>
            </w:r>
          </w:p>
          <w:p w14:paraId="3FB01A65" w14:textId="39F07F89" w:rsidR="006E7121" w:rsidRPr="000125FA" w:rsidRDefault="006E7121" w:rsidP="005119D2">
            <w:pPr>
              <w:spacing w:after="240"/>
              <w:jc w:val="both"/>
              <w:rPr>
                <w:rFonts w:ascii="Arial" w:hAnsi="Arial" w:cs="Arial"/>
                <w:b/>
                <w:color w:val="000000" w:themeColor="text1"/>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0125FA" w:rsidRDefault="006E7121" w:rsidP="002C557C">
            <w:pPr>
              <w:pStyle w:val="nivel1"/>
              <w:spacing w:before="60" w:after="60" w:line="240" w:lineRule="auto"/>
              <w:rPr>
                <w:rFonts w:ascii="Arial" w:hAnsi="Arial" w:cs="Arial"/>
                <w:color w:val="000000" w:themeColor="text1"/>
                <w:sz w:val="24"/>
                <w:szCs w:val="24"/>
                <w:lang w:eastAsia="es-CO"/>
              </w:rPr>
            </w:pPr>
            <w:r w:rsidRPr="000125FA">
              <w:rPr>
                <w:rFonts w:ascii="Arial" w:hAnsi="Arial" w:cs="Arial"/>
                <w:bCs/>
                <w:color w:val="000000" w:themeColor="text1"/>
                <w:lang w:eastAsia="es-CO"/>
              </w:rPr>
              <w:t>FIDUCIA</w:t>
            </w:r>
            <w:r w:rsidR="00EB0E44" w:rsidRPr="000125FA">
              <w:rPr>
                <w:rFonts w:ascii="Arial" w:hAnsi="Arial" w:cs="Arial"/>
                <w:bCs/>
                <w:color w:val="000000" w:themeColor="text1"/>
                <w:lang w:eastAsia="es-CO"/>
              </w:rPr>
              <w:t xml:space="preserve"> MERCANTIL</w:t>
            </w:r>
          </w:p>
        </w:tc>
        <w:tc>
          <w:tcPr>
            <w:tcW w:w="6616" w:type="dxa"/>
            <w:gridSpan w:val="2"/>
            <w:tcBorders>
              <w:left w:val="single" w:sz="4" w:space="0" w:color="auto"/>
            </w:tcBorders>
          </w:tcPr>
          <w:p w14:paraId="3B6690E0" w14:textId="77777777" w:rsidR="006E7121" w:rsidRPr="000125FA" w:rsidRDefault="006E7121" w:rsidP="002C557C">
            <w:pPr>
              <w:jc w:val="both"/>
              <w:rPr>
                <w:rFonts w:ascii="Arial" w:hAnsi="Arial" w:cs="Arial"/>
                <w:b/>
                <w:color w:val="000000" w:themeColor="text1"/>
                <w:lang w:eastAsia="es-CO"/>
              </w:rPr>
            </w:pPr>
            <w:r w:rsidRPr="000125FA">
              <w:rPr>
                <w:rFonts w:ascii="Arial" w:hAnsi="Arial" w:cs="Arial"/>
                <w:color w:val="000000" w:themeColor="text1"/>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los </w:t>
            </w:r>
            <w:r w:rsidR="00B617F3" w:rsidRPr="00BD54B2">
              <w:rPr>
                <w:rFonts w:ascii="Arial" w:eastAsia="Arial" w:hAnsi="Arial" w:cs="Arial"/>
                <w:lang w:val="es-ES"/>
              </w:rPr>
              <w:t xml:space="preserve"> recursos</w:t>
            </w:r>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59D965AA"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047FB0">
              <w:rPr>
                <w:rFonts w:ascii="Arial" w:hAnsi="Arial" w:cs="Arial"/>
                <w:bCs/>
                <w:lang w:val="es-ES"/>
              </w:rPr>
              <w:t xml:space="preserve">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La organización social y comunitaria se refiere al proceso y estructura mediante la cual las personas se organizan para lograr objetivos comunes dentro de una comunidad, ya sea a nivel geográfico, social, cultural, o digital. Implica la participación activa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28E6725A"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62D5AB1"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w:t>
            </w:r>
            <w:r w:rsidR="001B5A89">
              <w:rPr>
                <w:rFonts w:ascii="DIN 2014" w:hAnsi="DIN 2014"/>
                <w:sz w:val="18"/>
                <w:szCs w:val="18"/>
              </w:rPr>
              <w:t xml:space="preserve">Luis </w:t>
            </w:r>
            <w:r w:rsidRPr="00BD54B2">
              <w:rPr>
                <w:rFonts w:ascii="DIN 2014" w:hAnsi="DIN 2014"/>
                <w:sz w:val="18"/>
                <w:szCs w:val="18"/>
              </w:rPr>
              <w:t xml:space="preserve">Gabriel </w:t>
            </w:r>
            <w:r w:rsidR="001B5A89">
              <w:rPr>
                <w:rFonts w:ascii="DIN 2014" w:hAnsi="DIN 2014"/>
                <w:sz w:val="18"/>
                <w:szCs w:val="18"/>
              </w:rPr>
              <w:t>Marin Garcia</w:t>
            </w:r>
          </w:p>
          <w:p w14:paraId="2274B4FD" w14:textId="12D231B3"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w:t>
            </w:r>
          </w:p>
          <w:p w14:paraId="17FBB638" w14:textId="6AA443A6" w:rsidR="00793CAB" w:rsidRDefault="00793CAB" w:rsidP="007F539C">
            <w:pPr>
              <w:ind w:right="50"/>
              <w:rPr>
                <w:rFonts w:ascii="DIN 2014" w:hAnsi="DIN 2014"/>
                <w:sz w:val="18"/>
                <w:szCs w:val="18"/>
              </w:rPr>
            </w:pPr>
            <w:r>
              <w:rPr>
                <w:rFonts w:ascii="DIN 2014" w:hAnsi="DIN 2014"/>
                <w:sz w:val="18"/>
                <w:szCs w:val="18"/>
              </w:rPr>
              <w:t>Vo.Bo.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361D0B73" w14:textId="77777777" w:rsidR="0011150C" w:rsidRDefault="0013083A" w:rsidP="004615B9">
            <w:pPr>
              <w:rPr>
                <w:rFonts w:ascii="DIN 2014" w:hAnsi="DIN 2014"/>
                <w:sz w:val="18"/>
                <w:szCs w:val="18"/>
                <w:lang w:val="en"/>
              </w:rPr>
            </w:pPr>
            <w:r>
              <w:rPr>
                <w:rFonts w:ascii="DIN 2014" w:hAnsi="DIN 2014"/>
                <w:sz w:val="18"/>
                <w:szCs w:val="18"/>
                <w:lang w:val="en"/>
              </w:rPr>
              <w:t xml:space="preserve">                 Gerencia</w:t>
            </w:r>
            <w:r w:rsidR="00C20F55">
              <w:rPr>
                <w:rFonts w:ascii="DIN 2014" w:hAnsi="DIN 2014"/>
                <w:sz w:val="18"/>
                <w:szCs w:val="18"/>
                <w:lang w:val="en"/>
              </w:rPr>
              <w:t xml:space="preserve"> </w:t>
            </w:r>
            <w:r w:rsidR="000125FA">
              <w:rPr>
                <w:rFonts w:ascii="DIN 2014" w:hAnsi="DIN 2014"/>
                <w:sz w:val="18"/>
                <w:szCs w:val="18"/>
                <w:lang w:val="en"/>
              </w:rPr>
              <w:t xml:space="preserve">Vivienda </w:t>
            </w:r>
          </w:p>
          <w:p w14:paraId="1EA82CBD" w14:textId="1B35B685" w:rsidR="001B5A89" w:rsidRDefault="0011150C" w:rsidP="004615B9">
            <w:pPr>
              <w:rPr>
                <w:rFonts w:ascii="DIN 2014" w:hAnsi="DIN 2014"/>
                <w:sz w:val="18"/>
                <w:szCs w:val="18"/>
                <w:lang w:val="en"/>
              </w:rPr>
            </w:pPr>
            <w:r>
              <w:rPr>
                <w:rFonts w:ascii="DIN 2014" w:hAnsi="DIN 2014"/>
                <w:sz w:val="18"/>
                <w:szCs w:val="18"/>
                <w:lang w:val="en"/>
              </w:rPr>
              <w:t xml:space="preserve">Vo.Bo.     </w:t>
            </w:r>
            <w:r w:rsidR="001F4509">
              <w:rPr>
                <w:rFonts w:ascii="DIN 2014" w:hAnsi="DIN 2014"/>
                <w:sz w:val="18"/>
                <w:szCs w:val="18"/>
                <w:lang w:val="en"/>
              </w:rPr>
              <w:t>Gabriel Ernesto Fuentes Aguilar</w:t>
            </w:r>
          </w:p>
          <w:p w14:paraId="4CAFD983" w14:textId="54DA2CCE" w:rsidR="004615B9" w:rsidRPr="009C17CF" w:rsidRDefault="00DE7139" w:rsidP="004615B9">
            <w:pPr>
              <w:rPr>
                <w:rFonts w:ascii="DIN 2014" w:hAnsi="DIN 2014"/>
                <w:vanish/>
                <w:sz w:val="18"/>
                <w:szCs w:val="18"/>
                <w:lang w:val="en"/>
                <w:specVanish/>
              </w:rPr>
            </w:pPr>
            <w:r>
              <w:rPr>
                <w:rFonts w:ascii="DIN 2014" w:hAnsi="DIN 2014"/>
                <w:sz w:val="18"/>
                <w:szCs w:val="18"/>
                <w:lang w:val="en"/>
              </w:rPr>
              <w:t xml:space="preserve"> </w:t>
            </w:r>
            <w:r w:rsidR="001B5A89">
              <w:rPr>
                <w:rFonts w:ascii="DIN 2014" w:hAnsi="DIN 2014"/>
                <w:sz w:val="18"/>
                <w:szCs w:val="18"/>
                <w:lang w:val="en"/>
              </w:rPr>
              <w:t xml:space="preserve">                Gerenci</w:t>
            </w:r>
            <w:r w:rsidR="001F4509">
              <w:rPr>
                <w:rFonts w:ascii="DIN 2014" w:hAnsi="DIN 2014"/>
                <w:sz w:val="18"/>
                <w:szCs w:val="18"/>
                <w:lang w:val="en"/>
              </w:rPr>
              <w:t>a</w:t>
            </w:r>
            <w:r w:rsidR="001B5A89">
              <w:rPr>
                <w:rFonts w:ascii="DIN 2014" w:hAnsi="DIN 2014"/>
                <w:sz w:val="18"/>
                <w:szCs w:val="18"/>
                <w:lang w:val="en"/>
              </w:rPr>
              <w:t xml:space="preserve"> </w:t>
            </w:r>
            <w:r w:rsidR="001F4509">
              <w:rPr>
                <w:rFonts w:ascii="DIN 2014" w:hAnsi="DIN 2014"/>
                <w:sz w:val="18"/>
                <w:szCs w:val="18"/>
                <w:lang w:val="en"/>
              </w:rPr>
              <w:t xml:space="preserve">Administración de </w:t>
            </w:r>
            <w:proofErr w:type="spellStart"/>
            <w:r w:rsidR="001F4509">
              <w:rPr>
                <w:rFonts w:ascii="DIN 2014" w:hAnsi="DIN 2014"/>
                <w:sz w:val="18"/>
                <w:szCs w:val="18"/>
                <w:lang w:val="en"/>
              </w:rPr>
              <w:t>Garantias</w:t>
            </w:r>
            <w:proofErr w:type="spellEnd"/>
            <w:r w:rsidR="001B5A89">
              <w:rPr>
                <w:rFonts w:ascii="DIN 2014" w:hAnsi="DIN 2014"/>
                <w:sz w:val="18"/>
                <w:szCs w:val="18"/>
                <w:lang w:val="en"/>
              </w:rPr>
              <w:t>.</w:t>
            </w:r>
          </w:p>
          <w:p w14:paraId="69CEF153" w14:textId="4684B896" w:rsidR="008B7931" w:rsidRPr="008B1470" w:rsidRDefault="008B7931" w:rsidP="008B7931">
            <w:pPr>
              <w:rPr>
                <w:rFonts w:ascii="DIN 2014" w:hAnsi="DIN 2014"/>
                <w:sz w:val="18"/>
                <w:szCs w:val="18"/>
                <w:lang w:val="pt-PT"/>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43A5" w14:textId="77777777" w:rsidR="002A61F5" w:rsidRDefault="002A61F5">
      <w:r>
        <w:separator/>
      </w:r>
    </w:p>
  </w:endnote>
  <w:endnote w:type="continuationSeparator" w:id="0">
    <w:p w14:paraId="71C3BEE0" w14:textId="77777777" w:rsidR="002A61F5" w:rsidRDefault="002A61F5">
      <w:r>
        <w:continuationSeparator/>
      </w:r>
    </w:p>
  </w:endnote>
  <w:endnote w:type="continuationNotice" w:id="1">
    <w:p w14:paraId="7B816668" w14:textId="77777777" w:rsidR="002A61F5" w:rsidRDefault="002A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293E" w14:textId="77777777" w:rsidR="002A61F5" w:rsidRDefault="002A61F5">
      <w:r>
        <w:separator/>
      </w:r>
    </w:p>
  </w:footnote>
  <w:footnote w:type="continuationSeparator" w:id="0">
    <w:p w14:paraId="302CD3A6" w14:textId="77777777" w:rsidR="002A61F5" w:rsidRDefault="002A61F5">
      <w:r>
        <w:continuationSeparator/>
      </w:r>
    </w:p>
  </w:footnote>
  <w:footnote w:type="continuationNotice" w:id="1">
    <w:p w14:paraId="690B1DBB" w14:textId="77777777" w:rsidR="002A61F5" w:rsidRDefault="002A6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A5C4A93"/>
    <w:multiLevelType w:val="hybridMultilevel"/>
    <w:tmpl w:val="462C883A"/>
    <w:lvl w:ilvl="0" w:tplc="240A0017">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E5EBB"/>
    <w:multiLevelType w:val="hybridMultilevel"/>
    <w:tmpl w:val="52D2D4A8"/>
    <w:lvl w:ilvl="0" w:tplc="B8ECE04E">
      <w:start w:val="1"/>
      <w:numFmt w:val="lowerLetter"/>
      <w:lvlText w:val="%1)"/>
      <w:lvlJc w:val="left"/>
      <w:pPr>
        <w:ind w:left="928"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6"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974E6"/>
    <w:multiLevelType w:val="hybridMultilevel"/>
    <w:tmpl w:val="BF8E1AD2"/>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8"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63143C7"/>
    <w:multiLevelType w:val="hybridMultilevel"/>
    <w:tmpl w:val="E3DE7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6" w15:restartNumberingAfterBreak="0">
    <w:nsid w:val="6B921F4D"/>
    <w:multiLevelType w:val="hybridMultilevel"/>
    <w:tmpl w:val="AB94F1F4"/>
    <w:lvl w:ilvl="0" w:tplc="C75E1A62">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2"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5" w15:restartNumberingAfterBreak="0">
    <w:nsid w:val="75E11631"/>
    <w:multiLevelType w:val="hybridMultilevel"/>
    <w:tmpl w:val="0F128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4"/>
  </w:num>
  <w:num w:numId="4" w16cid:durableId="1805810296">
    <w:abstractNumId w:val="1"/>
  </w:num>
  <w:num w:numId="5" w16cid:durableId="569316084">
    <w:abstractNumId w:val="45"/>
  </w:num>
  <w:num w:numId="6" w16cid:durableId="1053121001">
    <w:abstractNumId w:val="47"/>
  </w:num>
  <w:num w:numId="7" w16cid:durableId="79068127">
    <w:abstractNumId w:val="24"/>
  </w:num>
  <w:num w:numId="8" w16cid:durableId="804785316">
    <w:abstractNumId w:val="3"/>
  </w:num>
  <w:num w:numId="9" w16cid:durableId="875434146">
    <w:abstractNumId w:val="60"/>
  </w:num>
  <w:num w:numId="10" w16cid:durableId="1466435121">
    <w:abstractNumId w:val="23"/>
  </w:num>
  <w:num w:numId="11" w16cid:durableId="2125297428">
    <w:abstractNumId w:val="12"/>
  </w:num>
  <w:num w:numId="12" w16cid:durableId="421605312">
    <w:abstractNumId w:val="35"/>
  </w:num>
  <w:num w:numId="13" w16cid:durableId="228543316">
    <w:abstractNumId w:val="2"/>
  </w:num>
  <w:num w:numId="14" w16cid:durableId="2043355250">
    <w:abstractNumId w:val="22"/>
  </w:num>
  <w:num w:numId="15" w16cid:durableId="1045570000">
    <w:abstractNumId w:val="19"/>
  </w:num>
  <w:num w:numId="16" w16cid:durableId="170343453">
    <w:abstractNumId w:val="18"/>
  </w:num>
  <w:num w:numId="17" w16cid:durableId="1347945450">
    <w:abstractNumId w:val="43"/>
  </w:num>
  <w:num w:numId="18" w16cid:durableId="822166232">
    <w:abstractNumId w:val="51"/>
  </w:num>
  <w:num w:numId="19" w16cid:durableId="1236939195">
    <w:abstractNumId w:val="28"/>
  </w:num>
  <w:num w:numId="20" w16cid:durableId="1853959193">
    <w:abstractNumId w:val="34"/>
  </w:num>
  <w:num w:numId="21" w16cid:durableId="351954524">
    <w:abstractNumId w:val="37"/>
  </w:num>
  <w:num w:numId="22" w16cid:durableId="799418460">
    <w:abstractNumId w:val="38"/>
  </w:num>
  <w:num w:numId="23" w16cid:durableId="1506239378">
    <w:abstractNumId w:val="25"/>
  </w:num>
  <w:num w:numId="24" w16cid:durableId="1407607863">
    <w:abstractNumId w:val="5"/>
  </w:num>
  <w:num w:numId="25" w16cid:durableId="9458806">
    <w:abstractNumId w:val="58"/>
  </w:num>
  <w:num w:numId="26" w16cid:durableId="1497069253">
    <w:abstractNumId w:val="10"/>
  </w:num>
  <w:num w:numId="27" w16cid:durableId="1021123901">
    <w:abstractNumId w:val="30"/>
  </w:num>
  <w:num w:numId="28" w16cid:durableId="1697003937">
    <w:abstractNumId w:val="56"/>
  </w:num>
  <w:num w:numId="29" w16cid:durableId="1544054994">
    <w:abstractNumId w:val="0"/>
  </w:num>
  <w:num w:numId="30" w16cid:durableId="1472871026">
    <w:abstractNumId w:val="21"/>
  </w:num>
  <w:num w:numId="31" w16cid:durableId="783311459">
    <w:abstractNumId w:val="50"/>
  </w:num>
  <w:num w:numId="32" w16cid:durableId="107312764">
    <w:abstractNumId w:val="32"/>
  </w:num>
  <w:num w:numId="33" w16cid:durableId="1601912361">
    <w:abstractNumId w:val="17"/>
  </w:num>
  <w:num w:numId="34" w16cid:durableId="612136155">
    <w:abstractNumId w:val="14"/>
  </w:num>
  <w:num w:numId="35" w16cid:durableId="126437831">
    <w:abstractNumId w:val="20"/>
  </w:num>
  <w:num w:numId="36" w16cid:durableId="788626786">
    <w:abstractNumId w:val="40"/>
  </w:num>
  <w:num w:numId="37" w16cid:durableId="729772654">
    <w:abstractNumId w:val="36"/>
  </w:num>
  <w:num w:numId="38" w16cid:durableId="419955984">
    <w:abstractNumId w:val="16"/>
  </w:num>
  <w:num w:numId="39" w16cid:durableId="1564214323">
    <w:abstractNumId w:val="39"/>
  </w:num>
  <w:num w:numId="40" w16cid:durableId="1833250740">
    <w:abstractNumId w:val="26"/>
  </w:num>
  <w:num w:numId="41" w16cid:durableId="324600138">
    <w:abstractNumId w:val="49"/>
  </w:num>
  <w:num w:numId="42" w16cid:durableId="676275006">
    <w:abstractNumId w:val="44"/>
  </w:num>
  <w:num w:numId="43" w16cid:durableId="1684554095">
    <w:abstractNumId w:val="48"/>
  </w:num>
  <w:num w:numId="44" w16cid:durableId="2021203644">
    <w:abstractNumId w:val="52"/>
  </w:num>
  <w:num w:numId="45" w16cid:durableId="37290223">
    <w:abstractNumId w:val="6"/>
  </w:num>
  <w:num w:numId="46" w16cid:durableId="774178093">
    <w:abstractNumId w:val="57"/>
  </w:num>
  <w:num w:numId="47" w16cid:durableId="955451952">
    <w:abstractNumId w:val="13"/>
  </w:num>
  <w:num w:numId="48" w16cid:durableId="1805460677">
    <w:abstractNumId w:val="29"/>
  </w:num>
  <w:num w:numId="49" w16cid:durableId="649559401">
    <w:abstractNumId w:val="31"/>
  </w:num>
  <w:num w:numId="50" w16cid:durableId="25106058">
    <w:abstractNumId w:val="41"/>
  </w:num>
  <w:num w:numId="51" w16cid:durableId="606891960">
    <w:abstractNumId w:val="9"/>
  </w:num>
  <w:num w:numId="52" w16cid:durableId="757022861">
    <w:abstractNumId w:val="8"/>
  </w:num>
  <w:num w:numId="53" w16cid:durableId="1727291141">
    <w:abstractNumId w:val="59"/>
  </w:num>
  <w:num w:numId="54" w16cid:durableId="518743735">
    <w:abstractNumId w:val="61"/>
  </w:num>
  <w:num w:numId="55" w16cid:durableId="655915699">
    <w:abstractNumId w:val="53"/>
  </w:num>
  <w:num w:numId="56" w16cid:durableId="1919318983">
    <w:abstractNumId w:val="46"/>
  </w:num>
  <w:num w:numId="57" w16cid:durableId="1621841829">
    <w:abstractNumId w:val="7"/>
  </w:num>
  <w:num w:numId="58" w16cid:durableId="458232983">
    <w:abstractNumId w:val="11"/>
  </w:num>
  <w:num w:numId="59" w16cid:durableId="57487057">
    <w:abstractNumId w:val="15"/>
  </w:num>
  <w:num w:numId="60" w16cid:durableId="1857881900">
    <w:abstractNumId w:val="27"/>
  </w:num>
  <w:num w:numId="61" w16cid:durableId="658969236">
    <w:abstractNumId w:val="55"/>
  </w:num>
  <w:num w:numId="62" w16cid:durableId="165433734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5FA"/>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036"/>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220"/>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D7736"/>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50C"/>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28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47F5E"/>
    <w:rsid w:val="00150103"/>
    <w:rsid w:val="001501DB"/>
    <w:rsid w:val="00150FCB"/>
    <w:rsid w:val="00152C88"/>
    <w:rsid w:val="001536B9"/>
    <w:rsid w:val="0015394E"/>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A0D"/>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8A0"/>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5A89"/>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75"/>
    <w:rsid w:val="001F2582"/>
    <w:rsid w:val="001F2D7A"/>
    <w:rsid w:val="001F3E97"/>
    <w:rsid w:val="001F4264"/>
    <w:rsid w:val="001F43CB"/>
    <w:rsid w:val="001F4509"/>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681"/>
    <w:rsid w:val="00234B40"/>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1F5"/>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1C1"/>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283"/>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042"/>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809"/>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49"/>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A5"/>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7EA"/>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081D"/>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18F"/>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5D97"/>
    <w:rsid w:val="005F6A72"/>
    <w:rsid w:val="005F72DE"/>
    <w:rsid w:val="005F7BC0"/>
    <w:rsid w:val="005F7D9A"/>
    <w:rsid w:val="00600650"/>
    <w:rsid w:val="006009D6"/>
    <w:rsid w:val="006012C0"/>
    <w:rsid w:val="00601C7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349"/>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60"/>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67B91"/>
    <w:rsid w:val="00670149"/>
    <w:rsid w:val="006701A1"/>
    <w:rsid w:val="0067036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B14"/>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C6F"/>
    <w:rsid w:val="006A6B0C"/>
    <w:rsid w:val="006A6E06"/>
    <w:rsid w:val="006A7144"/>
    <w:rsid w:val="006A7507"/>
    <w:rsid w:val="006A76FA"/>
    <w:rsid w:val="006A79C9"/>
    <w:rsid w:val="006A7D99"/>
    <w:rsid w:val="006B02C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E6A"/>
    <w:rsid w:val="007A4F09"/>
    <w:rsid w:val="007A512D"/>
    <w:rsid w:val="007A5306"/>
    <w:rsid w:val="007A54E0"/>
    <w:rsid w:val="007A5738"/>
    <w:rsid w:val="007A5BAC"/>
    <w:rsid w:val="007A5C8B"/>
    <w:rsid w:val="007A65A7"/>
    <w:rsid w:val="007A6713"/>
    <w:rsid w:val="007A68EB"/>
    <w:rsid w:val="007A6A05"/>
    <w:rsid w:val="007A7398"/>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480"/>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3F7"/>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6B48"/>
    <w:rsid w:val="00927B25"/>
    <w:rsid w:val="00930406"/>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26E8"/>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6D2F"/>
    <w:rsid w:val="00A77D0F"/>
    <w:rsid w:val="00A77FF8"/>
    <w:rsid w:val="00A80998"/>
    <w:rsid w:val="00A809D3"/>
    <w:rsid w:val="00A817D4"/>
    <w:rsid w:val="00A81964"/>
    <w:rsid w:val="00A82185"/>
    <w:rsid w:val="00A823FB"/>
    <w:rsid w:val="00A82BF6"/>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8EF"/>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418A"/>
    <w:rsid w:val="00B045AB"/>
    <w:rsid w:val="00B047B4"/>
    <w:rsid w:val="00B048B4"/>
    <w:rsid w:val="00B04ACF"/>
    <w:rsid w:val="00B0526C"/>
    <w:rsid w:val="00B054C5"/>
    <w:rsid w:val="00B0579A"/>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27CA"/>
    <w:rsid w:val="00B22956"/>
    <w:rsid w:val="00B22D94"/>
    <w:rsid w:val="00B233A9"/>
    <w:rsid w:val="00B2344E"/>
    <w:rsid w:val="00B23B14"/>
    <w:rsid w:val="00B23BD5"/>
    <w:rsid w:val="00B247C1"/>
    <w:rsid w:val="00B2533C"/>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786"/>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846"/>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3EE"/>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686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C4E"/>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200"/>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3569"/>
    <w:rsid w:val="00C436FE"/>
    <w:rsid w:val="00C4426A"/>
    <w:rsid w:val="00C446DC"/>
    <w:rsid w:val="00C44F52"/>
    <w:rsid w:val="00C45151"/>
    <w:rsid w:val="00C45CF5"/>
    <w:rsid w:val="00C468D8"/>
    <w:rsid w:val="00C46BEC"/>
    <w:rsid w:val="00C47BB6"/>
    <w:rsid w:val="00C5005A"/>
    <w:rsid w:val="00C514E0"/>
    <w:rsid w:val="00C51731"/>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2895"/>
    <w:rsid w:val="00CF30BA"/>
    <w:rsid w:val="00CF32D2"/>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0DB3"/>
    <w:rsid w:val="00D10F5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570A"/>
    <w:rsid w:val="00D966D8"/>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8D2"/>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598D"/>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76EC"/>
    <w:rsid w:val="00E77BE4"/>
    <w:rsid w:val="00E77D68"/>
    <w:rsid w:val="00E800E7"/>
    <w:rsid w:val="00E80106"/>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16E2"/>
    <w:rsid w:val="00F02417"/>
    <w:rsid w:val="00F025BB"/>
    <w:rsid w:val="00F02E7F"/>
    <w:rsid w:val="00F02F06"/>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B2B"/>
    <w:rsid w:val="00F83D59"/>
    <w:rsid w:val="00F84AA7"/>
    <w:rsid w:val="00F8512A"/>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A7ECB"/>
    <w:rsid w:val="00FB017C"/>
    <w:rsid w:val="00FB03B2"/>
    <w:rsid w:val="00FB087C"/>
    <w:rsid w:val="00FB0D10"/>
    <w:rsid w:val="00FB1803"/>
    <w:rsid w:val="00FB1A44"/>
    <w:rsid w:val="00FB22D4"/>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4D678317-60D4-40E9-80CF-58805DA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4E3EC-5395-45E6-B1A2-EA88532791FA}"/>
</file>

<file path=customXml/itemProps2.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39871</Words>
  <Characters>219293</Characters>
  <Application>Microsoft Office Word</Application>
  <DocSecurity>0</DocSecurity>
  <Lines>1827</Lines>
  <Paragraphs>517</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258647</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3</cp:revision>
  <cp:lastPrinted>2025-10-16T21:02:00Z</cp:lastPrinted>
  <dcterms:created xsi:type="dcterms:W3CDTF">2025-11-14T20:02:00Z</dcterms:created>
  <dcterms:modified xsi:type="dcterms:W3CDTF">2025-11-14T20:08:00Z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