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476A8247">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476A8247">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476A8247">
        <w:trPr>
          <w:trHeight w:val="511"/>
        </w:trPr>
        <w:tc>
          <w:tcPr>
            <w:tcW w:w="8977" w:type="dxa"/>
          </w:tcPr>
          <w:p w14:paraId="284A3DF3" w14:textId="026D205A" w:rsidR="00C94E4C" w:rsidRPr="001234DE" w:rsidRDefault="35ED068C" w:rsidP="476A8247">
            <w:pPr>
              <w:jc w:val="both"/>
              <w:rPr>
                <w:rFonts w:cs="Arial"/>
                <w:b/>
                <w:bCs/>
                <w:sz w:val="24"/>
                <w:szCs w:val="24"/>
              </w:rPr>
            </w:pPr>
            <w:r w:rsidRPr="476A8247">
              <w:rPr>
                <w:rFonts w:cs="Arial"/>
                <w:b/>
                <w:bCs/>
                <w:sz w:val="24"/>
                <w:szCs w:val="24"/>
              </w:rPr>
              <w:t>Fecha</w:t>
            </w:r>
            <w:r w:rsidRPr="476A8247">
              <w:rPr>
                <w:rFonts w:cs="Arial"/>
                <w:sz w:val="24"/>
                <w:szCs w:val="24"/>
              </w:rPr>
              <w:t>:</w:t>
            </w:r>
            <w:r w:rsidR="19C17842" w:rsidRPr="476A8247">
              <w:rPr>
                <w:rFonts w:cs="Arial"/>
                <w:sz w:val="24"/>
                <w:szCs w:val="24"/>
              </w:rPr>
              <w:t xml:space="preserve"> </w:t>
            </w:r>
            <w:r w:rsidR="00F21030">
              <w:rPr>
                <w:rFonts w:cs="Arial"/>
                <w:sz w:val="24"/>
                <w:szCs w:val="24"/>
              </w:rPr>
              <w:t>J</w:t>
            </w:r>
            <w:r w:rsidR="1F298250" w:rsidRPr="476A8247">
              <w:rPr>
                <w:rFonts w:cs="Arial"/>
                <w:sz w:val="24"/>
                <w:szCs w:val="24"/>
              </w:rPr>
              <w:t>u</w:t>
            </w:r>
            <w:r w:rsidR="4D44954F" w:rsidRPr="476A8247">
              <w:rPr>
                <w:rFonts w:cs="Arial"/>
                <w:sz w:val="24"/>
                <w:szCs w:val="24"/>
              </w:rPr>
              <w:t>l</w:t>
            </w:r>
            <w:r w:rsidR="1F298250" w:rsidRPr="476A8247">
              <w:rPr>
                <w:rFonts w:cs="Arial"/>
                <w:sz w:val="24"/>
                <w:szCs w:val="24"/>
              </w:rPr>
              <w:t>io</w:t>
            </w:r>
            <w:r w:rsidR="65C49A8A" w:rsidRPr="476A8247">
              <w:rPr>
                <w:rFonts w:cs="Arial"/>
                <w:sz w:val="24"/>
                <w:szCs w:val="24"/>
              </w:rPr>
              <w:t xml:space="preserve"> </w:t>
            </w:r>
            <w:r w:rsidR="0AED8067" w:rsidRPr="476A8247">
              <w:rPr>
                <w:rFonts w:cs="Arial"/>
                <w:sz w:val="24"/>
                <w:szCs w:val="24"/>
              </w:rPr>
              <w:t>22</w:t>
            </w:r>
            <w:r w:rsidR="2090A606" w:rsidRPr="476A8247">
              <w:rPr>
                <w:rFonts w:cs="Arial"/>
                <w:sz w:val="24"/>
                <w:szCs w:val="24"/>
              </w:rPr>
              <w:t xml:space="preserve"> </w:t>
            </w:r>
            <w:r w:rsidR="4306B5F7" w:rsidRPr="476A8247">
              <w:rPr>
                <w:rFonts w:cs="Arial"/>
                <w:sz w:val="24"/>
                <w:szCs w:val="24"/>
              </w:rPr>
              <w:t>de 202</w:t>
            </w:r>
            <w:r w:rsidR="44A6FB89" w:rsidRPr="476A8247">
              <w:rPr>
                <w:rFonts w:cs="Arial"/>
                <w:sz w:val="24"/>
                <w:szCs w:val="24"/>
              </w:rPr>
              <w:t>5</w:t>
            </w:r>
          </w:p>
        </w:tc>
      </w:tr>
      <w:tr w:rsidR="00FF1E8D" w:rsidRPr="001234DE" w14:paraId="2A866DF7" w14:textId="77777777" w:rsidTr="476A8247">
        <w:trPr>
          <w:trHeight w:val="806"/>
        </w:trPr>
        <w:tc>
          <w:tcPr>
            <w:tcW w:w="8977" w:type="dxa"/>
          </w:tcPr>
          <w:p w14:paraId="78C7F81D" w14:textId="60169F80"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w:t>
            </w:r>
            <w:r w:rsidR="00002EAF">
              <w:rPr>
                <w:rFonts w:cs="Arial"/>
                <w:bCs/>
                <w:sz w:val="24"/>
                <w:szCs w:val="24"/>
              </w:rPr>
              <w:t>Acta 101</w:t>
            </w:r>
            <w:r w:rsidR="00CA610C">
              <w:rPr>
                <w:rFonts w:cs="Arial"/>
                <w:bCs/>
                <w:sz w:val="24"/>
                <w:szCs w:val="24"/>
              </w:rPr>
              <w:t>3</w:t>
            </w:r>
            <w:r w:rsidR="00A965D8" w:rsidRPr="00495886">
              <w:rPr>
                <w:rFonts w:cs="Arial"/>
                <w:bCs/>
                <w:sz w:val="24"/>
                <w:szCs w:val="24"/>
              </w:rPr>
              <w:t xml:space="preserve">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CC64DD">
              <w:rPr>
                <w:rFonts w:cs="Arial"/>
                <w:sz w:val="24"/>
                <w:szCs w:val="24"/>
                <w:lang w:val="es-ES_tradnl"/>
              </w:rPr>
              <w:t>10</w:t>
            </w:r>
            <w:r w:rsidR="009F39AB" w:rsidRPr="00495886">
              <w:rPr>
                <w:rFonts w:cs="Arial"/>
                <w:sz w:val="24"/>
                <w:szCs w:val="24"/>
                <w:lang w:val="es-ES_tradnl"/>
              </w:rPr>
              <w:t xml:space="preserve">. </w:t>
            </w:r>
            <w:r w:rsidR="00950ADC">
              <w:rPr>
                <w:rFonts w:cs="Arial"/>
                <w:sz w:val="24"/>
                <w:szCs w:val="24"/>
                <w:lang w:val="es-ES_tradnl"/>
              </w:rPr>
              <w:br/>
            </w:r>
          </w:p>
        </w:tc>
      </w:tr>
      <w:tr w:rsidR="00FF1E8D" w:rsidRPr="001234DE" w14:paraId="2EEBFAC1" w14:textId="77777777" w:rsidTr="476A8247">
        <w:trPr>
          <w:trHeight w:val="744"/>
        </w:trPr>
        <w:tc>
          <w:tcPr>
            <w:tcW w:w="8977" w:type="dxa"/>
          </w:tcPr>
          <w:p w14:paraId="5D2D5392" w14:textId="2137F9DF" w:rsidR="009C2732" w:rsidRPr="001234DE" w:rsidRDefault="00950ADC" w:rsidP="005F1A82">
            <w:pPr>
              <w:jc w:val="both"/>
              <w:rPr>
                <w:rFonts w:cs="Arial"/>
                <w:sz w:val="24"/>
                <w:szCs w:val="24"/>
              </w:rPr>
            </w:pPr>
            <w:r>
              <w:rPr>
                <w:rFonts w:cs="Arial"/>
                <w:b/>
                <w:bCs/>
                <w:sz w:val="24"/>
                <w:szCs w:val="24"/>
              </w:rPr>
              <w:br/>
            </w:r>
            <w:r w:rsidR="00A56AE8"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r>
              <w:rPr>
                <w:rFonts w:cs="Arial"/>
                <w:sz w:val="24"/>
                <w:szCs w:val="24"/>
              </w:rPr>
              <w:br/>
            </w:r>
          </w:p>
        </w:tc>
      </w:tr>
      <w:tr w:rsidR="00FF1E8D" w:rsidRPr="001234DE" w14:paraId="34008CE6" w14:textId="77777777" w:rsidTr="476A8247">
        <w:trPr>
          <w:trHeight w:val="527"/>
        </w:trPr>
        <w:tc>
          <w:tcPr>
            <w:tcW w:w="8977" w:type="dxa"/>
          </w:tcPr>
          <w:p w14:paraId="4F96BEB6" w14:textId="77777777" w:rsidR="00357ED7" w:rsidRPr="00F66FA7" w:rsidRDefault="00950ADC" w:rsidP="00357ED7">
            <w:pPr>
              <w:autoSpaceDE w:val="0"/>
              <w:autoSpaceDN w:val="0"/>
              <w:adjustRightInd w:val="0"/>
              <w:ind w:left="164" w:firstLine="220"/>
              <w:jc w:val="both"/>
              <w:rPr>
                <w:rFonts w:cs="Arial"/>
                <w:sz w:val="24"/>
                <w:szCs w:val="24"/>
              </w:rPr>
            </w:pPr>
            <w:r w:rsidRPr="00F66FA7">
              <w:rPr>
                <w:rFonts w:cs="Arial"/>
                <w:sz w:val="24"/>
                <w:szCs w:val="24"/>
              </w:rPr>
              <w:br/>
            </w:r>
            <w:r w:rsidR="00A57862" w:rsidRPr="00F66FA7">
              <w:rPr>
                <w:rFonts w:cs="Arial"/>
                <w:sz w:val="24"/>
                <w:szCs w:val="24"/>
              </w:rPr>
              <w:t>Vigencia de la norma reglamentada o desarrollada</w:t>
            </w:r>
            <w:r w:rsidR="008C48F5" w:rsidRPr="00F66FA7">
              <w:rPr>
                <w:rFonts w:cs="Arial"/>
                <w:sz w:val="24"/>
                <w:szCs w:val="24"/>
              </w:rPr>
              <w:t xml:space="preserve">:  </w:t>
            </w:r>
          </w:p>
          <w:p w14:paraId="3D3C58AD" w14:textId="77777777" w:rsidR="00357ED7" w:rsidRDefault="00357ED7" w:rsidP="00357ED7">
            <w:pPr>
              <w:autoSpaceDE w:val="0"/>
              <w:autoSpaceDN w:val="0"/>
              <w:adjustRightInd w:val="0"/>
              <w:ind w:left="164"/>
              <w:jc w:val="both"/>
              <w:rPr>
                <w:rFonts w:cs="Arial"/>
                <w:sz w:val="24"/>
                <w:szCs w:val="24"/>
              </w:rPr>
            </w:pPr>
            <w:r w:rsidRPr="00F66FA7">
              <w:rPr>
                <w:rFonts w:cs="Arial"/>
                <w:sz w:val="24"/>
                <w:szCs w:val="24"/>
              </w:rPr>
              <w:br/>
            </w:r>
            <w:r w:rsidR="00CA610C" w:rsidRPr="00CA610C">
              <w:rPr>
                <w:rFonts w:cs="Arial"/>
                <w:sz w:val="24"/>
                <w:szCs w:val="24"/>
              </w:rPr>
              <w:t xml:space="preserve">Para la versión 10 del Reglamento de Crédito </w:t>
            </w:r>
            <w:r w:rsidR="00CA610C">
              <w:rPr>
                <w:rFonts w:cs="Arial"/>
                <w:sz w:val="24"/>
                <w:szCs w:val="24"/>
              </w:rPr>
              <w:t xml:space="preserve">y Leasing </w:t>
            </w:r>
            <w:r>
              <w:rPr>
                <w:rFonts w:cs="Arial"/>
                <w:sz w:val="24"/>
                <w:szCs w:val="24"/>
              </w:rPr>
              <w:t xml:space="preserve">Habitacional se realizan los siguientes cambios: </w:t>
            </w:r>
          </w:p>
          <w:p w14:paraId="00D25072" w14:textId="77777777" w:rsidR="00357ED7" w:rsidRDefault="00357ED7" w:rsidP="00357ED7">
            <w:pPr>
              <w:autoSpaceDE w:val="0"/>
              <w:autoSpaceDN w:val="0"/>
              <w:adjustRightInd w:val="0"/>
              <w:ind w:left="164"/>
              <w:jc w:val="both"/>
              <w:rPr>
                <w:rFonts w:cs="Arial"/>
                <w:sz w:val="24"/>
                <w:szCs w:val="24"/>
              </w:rPr>
            </w:pPr>
          </w:p>
          <w:p w14:paraId="06E83873" w14:textId="77777777" w:rsidR="00357ED7" w:rsidRDefault="00357ED7" w:rsidP="00357ED7">
            <w:pPr>
              <w:pStyle w:val="Prrafodelista"/>
              <w:numPr>
                <w:ilvl w:val="0"/>
                <w:numId w:val="17"/>
              </w:numPr>
              <w:autoSpaceDE w:val="0"/>
              <w:autoSpaceDN w:val="0"/>
              <w:adjustRightInd w:val="0"/>
              <w:jc w:val="both"/>
              <w:rPr>
                <w:rFonts w:ascii="Arial" w:eastAsia="Times New Roman" w:hAnsi="Arial" w:cs="Arial"/>
                <w:sz w:val="24"/>
                <w:szCs w:val="24"/>
                <w:lang w:val="es-ES" w:eastAsia="es-ES"/>
              </w:rPr>
            </w:pPr>
            <w:r w:rsidRPr="00357ED7">
              <w:rPr>
                <w:rFonts w:ascii="Arial" w:eastAsia="Times New Roman" w:hAnsi="Arial" w:cs="Arial"/>
                <w:sz w:val="24"/>
                <w:szCs w:val="24"/>
                <w:lang w:val="es-ES" w:eastAsia="es-ES"/>
              </w:rPr>
              <w:t>Se ajusta Tabla de Contenido del Reglamento, dejando solo los títulos generales de los productos.</w:t>
            </w:r>
          </w:p>
          <w:p w14:paraId="598C6CCB" w14:textId="3060748D" w:rsidR="00357ED7" w:rsidRDefault="00357ED7" w:rsidP="00357ED7">
            <w:pPr>
              <w:pStyle w:val="Prrafodelista"/>
              <w:numPr>
                <w:ilvl w:val="0"/>
                <w:numId w:val="17"/>
              </w:numPr>
              <w:autoSpaceDE w:val="0"/>
              <w:autoSpaceDN w:val="0"/>
              <w:adjustRightInd w:val="0"/>
              <w:jc w:val="both"/>
              <w:rPr>
                <w:rFonts w:ascii="Arial" w:eastAsia="Times New Roman" w:hAnsi="Arial" w:cs="Arial"/>
                <w:sz w:val="24"/>
                <w:szCs w:val="24"/>
                <w:lang w:val="es-ES" w:eastAsia="es-ES"/>
              </w:rPr>
            </w:pPr>
            <w:r w:rsidRPr="00357ED7">
              <w:rPr>
                <w:rFonts w:ascii="Arial" w:eastAsia="Times New Roman" w:hAnsi="Arial" w:cs="Arial"/>
                <w:sz w:val="24"/>
                <w:szCs w:val="24"/>
                <w:lang w:val="es-ES" w:eastAsia="es-ES"/>
              </w:rPr>
              <w:t>S</w:t>
            </w:r>
            <w:r w:rsidR="00CA610C" w:rsidRPr="00357ED7">
              <w:rPr>
                <w:rFonts w:ascii="Arial" w:eastAsia="Times New Roman" w:hAnsi="Arial" w:cs="Arial"/>
                <w:sz w:val="24"/>
                <w:szCs w:val="24"/>
                <w:lang w:val="es-ES" w:eastAsia="es-ES"/>
              </w:rPr>
              <w:t>e modifica el Capítulo 2, incorporando la modalidad de “Crédito de Mejora de Vivienda sin Constitución de Garantía Hipotecaria”, en la cual se detallan las características del producto, tales como: perfil del solicitante</w:t>
            </w:r>
            <w:r w:rsidR="001C7FA8">
              <w:rPr>
                <w:rFonts w:ascii="Arial" w:eastAsia="Times New Roman" w:hAnsi="Arial" w:cs="Arial"/>
                <w:sz w:val="24"/>
                <w:szCs w:val="24"/>
                <w:lang w:val="es-ES" w:eastAsia="es-ES"/>
              </w:rPr>
              <w:t xml:space="preserve"> para propietarios y poseedores</w:t>
            </w:r>
            <w:r w:rsidR="00CA610C" w:rsidRPr="00357ED7">
              <w:rPr>
                <w:rFonts w:ascii="Arial" w:eastAsia="Times New Roman" w:hAnsi="Arial" w:cs="Arial"/>
                <w:sz w:val="24"/>
                <w:szCs w:val="24"/>
                <w:lang w:val="es-ES" w:eastAsia="es-ES"/>
              </w:rPr>
              <w:t>, condiciones de desembolso, seguros, garantías y demás aspectos aplicables. Adicionalmente, se actualizan las generalidades del reglamento para incluir esta nueva modalidad de crédito.</w:t>
            </w:r>
          </w:p>
          <w:p w14:paraId="1563231D" w14:textId="40AE9FB9" w:rsidR="00357ED7" w:rsidRDefault="00357ED7" w:rsidP="00357ED7">
            <w:pPr>
              <w:pStyle w:val="Prrafodelista"/>
              <w:numPr>
                <w:ilvl w:val="0"/>
                <w:numId w:val="17"/>
              </w:numPr>
              <w:autoSpaceDE w:val="0"/>
              <w:autoSpaceDN w:val="0"/>
              <w:adjustRightInd w:val="0"/>
              <w:jc w:val="both"/>
              <w:rPr>
                <w:rFonts w:ascii="Arial" w:eastAsia="Times New Roman" w:hAnsi="Arial" w:cs="Arial"/>
                <w:sz w:val="24"/>
                <w:szCs w:val="24"/>
                <w:lang w:val="es-ES" w:eastAsia="es-ES"/>
              </w:rPr>
            </w:pPr>
            <w:r w:rsidRPr="00357ED7">
              <w:rPr>
                <w:rFonts w:ascii="Arial" w:eastAsia="Times New Roman" w:hAnsi="Arial" w:cs="Arial"/>
                <w:sz w:val="24"/>
                <w:szCs w:val="24"/>
                <w:lang w:val="es-ES" w:eastAsia="es-ES"/>
              </w:rPr>
              <w:t>Se ajusta el porcentaje de valor de la primera cuota o canon al 40% de acuerdo con el Decreto 583 de 28 de mayo de 2025 numeral 2.8 “Amortización de créditos hipotecarios, mejora de Vivienda sin Constitución de Garantía Hipotecaria y Leasing Habitacional.</w:t>
            </w:r>
          </w:p>
          <w:p w14:paraId="4E7BFFEB" w14:textId="063252E7" w:rsidR="00357ED7" w:rsidRPr="00357ED7" w:rsidRDefault="00357ED7" w:rsidP="00357ED7">
            <w:pPr>
              <w:pStyle w:val="Prrafodelista"/>
              <w:numPr>
                <w:ilvl w:val="0"/>
                <w:numId w:val="17"/>
              </w:numPr>
              <w:autoSpaceDE w:val="0"/>
              <w:autoSpaceDN w:val="0"/>
              <w:adjustRightInd w:val="0"/>
              <w:jc w:val="both"/>
              <w:rPr>
                <w:rFonts w:ascii="Arial" w:eastAsia="Times New Roman" w:hAnsi="Arial" w:cs="Arial"/>
                <w:sz w:val="24"/>
                <w:szCs w:val="24"/>
                <w:lang w:val="es-ES" w:eastAsia="es-ES"/>
              </w:rPr>
            </w:pPr>
            <w:r w:rsidRPr="00357ED7">
              <w:rPr>
                <w:rFonts w:ascii="Arial" w:eastAsia="Times New Roman" w:hAnsi="Arial" w:cs="Arial"/>
                <w:sz w:val="24"/>
                <w:szCs w:val="24"/>
                <w:lang w:val="es-ES" w:eastAsia="es-ES"/>
              </w:rPr>
              <w:t>Se ajusta el numeral 5.4.2. “Pagos a Capital a Prorrata”, en cuanto a la retroactividad que aplicará para todos los créditos constructor aprobados y desembolsados a partir de Junio 1ro de 2024</w:t>
            </w:r>
            <w:r>
              <w:rPr>
                <w:rFonts w:ascii="Arial" w:eastAsia="Times New Roman" w:hAnsi="Arial" w:cs="Arial"/>
                <w:sz w:val="24"/>
                <w:szCs w:val="24"/>
                <w:lang w:val="es-ES" w:eastAsia="es-ES"/>
              </w:rPr>
              <w:t>.</w:t>
            </w:r>
          </w:p>
          <w:p w14:paraId="10B41BC4" w14:textId="77777777" w:rsidR="00357ED7" w:rsidRDefault="00357ED7" w:rsidP="00357ED7">
            <w:pPr>
              <w:autoSpaceDE w:val="0"/>
              <w:autoSpaceDN w:val="0"/>
              <w:adjustRightInd w:val="0"/>
              <w:jc w:val="both"/>
              <w:rPr>
                <w:rFonts w:cs="Arial"/>
                <w:sz w:val="24"/>
                <w:szCs w:val="24"/>
              </w:rPr>
            </w:pPr>
          </w:p>
          <w:p w14:paraId="2AA9BFA3" w14:textId="728B6DE9" w:rsidR="00F66FA7" w:rsidRDefault="00357ED7" w:rsidP="00EF3301">
            <w:pPr>
              <w:pStyle w:val="Prrafodelista"/>
              <w:numPr>
                <w:ilvl w:val="0"/>
                <w:numId w:val="17"/>
              </w:numPr>
              <w:autoSpaceDE w:val="0"/>
              <w:autoSpaceDN w:val="0"/>
              <w:adjustRightInd w:val="0"/>
              <w:spacing w:after="0"/>
              <w:jc w:val="both"/>
              <w:rPr>
                <w:rFonts w:ascii="Arial" w:eastAsia="Times New Roman" w:hAnsi="Arial" w:cs="Arial"/>
                <w:sz w:val="24"/>
                <w:szCs w:val="24"/>
                <w:lang w:val="es-ES" w:eastAsia="es-ES"/>
              </w:rPr>
            </w:pPr>
            <w:r w:rsidRPr="00F66FA7">
              <w:rPr>
                <w:rFonts w:ascii="Arial" w:eastAsia="Times New Roman" w:hAnsi="Arial" w:cs="Arial"/>
                <w:sz w:val="24"/>
                <w:szCs w:val="24"/>
                <w:lang w:val="es-ES" w:eastAsia="es-ES"/>
              </w:rPr>
              <w:lastRenderedPageBreak/>
              <w:t xml:space="preserve">Se incluye nuevo capítulo 6, titulado “Crédito Asociativo para Mejora de vivienda” en el cual </w:t>
            </w:r>
            <w:r w:rsidR="00F66FA7" w:rsidRPr="00F66FA7">
              <w:rPr>
                <w:rFonts w:ascii="Arial" w:eastAsia="Times New Roman" w:hAnsi="Arial" w:cs="Arial"/>
                <w:sz w:val="24"/>
                <w:szCs w:val="24"/>
                <w:lang w:val="es-ES" w:eastAsia="es-ES"/>
              </w:rPr>
              <w:t>se cual se detallan las características del producto, tales como: perfil del solicitante, condiciones de desembolso, seguros, garantías y demás aspectos aplicables</w:t>
            </w:r>
            <w:r w:rsidR="00F66FA7">
              <w:rPr>
                <w:rFonts w:ascii="Arial" w:eastAsia="Times New Roman" w:hAnsi="Arial" w:cs="Arial"/>
                <w:sz w:val="24"/>
                <w:szCs w:val="24"/>
                <w:lang w:val="es-ES" w:eastAsia="es-ES"/>
              </w:rPr>
              <w:t xml:space="preserve"> para esta línea de crédito.</w:t>
            </w:r>
          </w:p>
          <w:p w14:paraId="62B17962" w14:textId="77777777" w:rsidR="00EF3301" w:rsidRPr="00EF3301" w:rsidRDefault="00EF3301" w:rsidP="00EF3301">
            <w:pPr>
              <w:pStyle w:val="Prrafodelista"/>
              <w:rPr>
                <w:rFonts w:ascii="Arial" w:eastAsia="Times New Roman" w:hAnsi="Arial" w:cs="Arial"/>
                <w:sz w:val="24"/>
                <w:szCs w:val="24"/>
                <w:lang w:val="es-ES" w:eastAsia="es-ES"/>
              </w:rPr>
            </w:pPr>
          </w:p>
          <w:p w14:paraId="1AC5A077" w14:textId="21CE56BD" w:rsidR="00F66FA7" w:rsidRPr="001C7FA8" w:rsidRDefault="00F66FA7" w:rsidP="00F66FA7">
            <w:pPr>
              <w:autoSpaceDE w:val="0"/>
              <w:autoSpaceDN w:val="0"/>
              <w:adjustRightInd w:val="0"/>
              <w:ind w:firstLine="596"/>
              <w:jc w:val="both"/>
              <w:rPr>
                <w:rFonts w:cs="Arial"/>
                <w:b/>
                <w:bCs/>
                <w:sz w:val="24"/>
                <w:szCs w:val="24"/>
                <w:u w:val="single"/>
              </w:rPr>
            </w:pPr>
            <w:r w:rsidRPr="001C7FA8">
              <w:rPr>
                <w:rFonts w:cs="Arial"/>
                <w:b/>
                <w:bCs/>
                <w:sz w:val="24"/>
                <w:szCs w:val="24"/>
                <w:u w:val="single"/>
              </w:rPr>
              <w:t xml:space="preserve">VIGENCIA: </w:t>
            </w:r>
          </w:p>
          <w:p w14:paraId="1DFD3A9E" w14:textId="77777777" w:rsidR="00F66FA7" w:rsidRPr="00F66FA7" w:rsidRDefault="00F66FA7" w:rsidP="00F66FA7">
            <w:pPr>
              <w:autoSpaceDE w:val="0"/>
              <w:autoSpaceDN w:val="0"/>
              <w:adjustRightInd w:val="0"/>
              <w:jc w:val="both"/>
              <w:rPr>
                <w:rFonts w:cs="Arial"/>
                <w:sz w:val="24"/>
                <w:szCs w:val="24"/>
              </w:rPr>
            </w:pPr>
          </w:p>
          <w:p w14:paraId="61409ACC" w14:textId="6B65C369" w:rsidR="00F66FA7" w:rsidRPr="00F66FA7" w:rsidRDefault="00F66FA7" w:rsidP="00F66FA7">
            <w:pPr>
              <w:autoSpaceDE w:val="0"/>
              <w:autoSpaceDN w:val="0"/>
              <w:adjustRightInd w:val="0"/>
              <w:ind w:left="164"/>
              <w:jc w:val="both"/>
              <w:rPr>
                <w:rFonts w:cs="Arial"/>
                <w:sz w:val="24"/>
                <w:szCs w:val="24"/>
              </w:rPr>
            </w:pPr>
            <w:r>
              <w:rPr>
                <w:rFonts w:cs="Arial"/>
                <w:sz w:val="24"/>
                <w:szCs w:val="24"/>
              </w:rPr>
              <w:t>L</w:t>
            </w:r>
            <w:r w:rsidRPr="00F66FA7">
              <w:rPr>
                <w:rFonts w:cs="Arial"/>
                <w:sz w:val="24"/>
                <w:szCs w:val="24"/>
              </w:rPr>
              <w:t xml:space="preserve">a versión 10 del Reglamento de Crédito y Leasing Habitacional regirá a partir de su publicación, sin embargo, </w:t>
            </w:r>
            <w:r>
              <w:rPr>
                <w:rFonts w:cs="Arial"/>
                <w:sz w:val="24"/>
                <w:szCs w:val="24"/>
              </w:rPr>
              <w:t xml:space="preserve">respecto </w:t>
            </w:r>
            <w:r w:rsidRPr="00F66FA7">
              <w:rPr>
                <w:rFonts w:cs="Arial"/>
                <w:sz w:val="24"/>
                <w:szCs w:val="24"/>
              </w:rPr>
              <w:t>a la entrada en vigor de los numerales que se relacionan a continuación está sujeta a los desarrollos tecnológicos o antes si estos lo permiten:</w:t>
            </w:r>
          </w:p>
          <w:p w14:paraId="6E2C4947" w14:textId="710A6C6F" w:rsidR="00F66FA7" w:rsidRDefault="00F66FA7" w:rsidP="00F66FA7">
            <w:pPr>
              <w:autoSpaceDE w:val="0"/>
              <w:autoSpaceDN w:val="0"/>
              <w:adjustRightInd w:val="0"/>
              <w:ind w:left="164"/>
              <w:jc w:val="both"/>
              <w:rPr>
                <w:rFonts w:cs="Arial"/>
                <w:sz w:val="24"/>
                <w:szCs w:val="24"/>
              </w:rPr>
            </w:pPr>
            <w:r w:rsidRPr="00F66FA7">
              <w:rPr>
                <w:rFonts w:cs="Arial"/>
                <w:sz w:val="24"/>
                <w:szCs w:val="24"/>
              </w:rPr>
              <w:t xml:space="preserve"> </w:t>
            </w:r>
          </w:p>
          <w:p w14:paraId="1AA35EA1" w14:textId="48DBD227" w:rsidR="00F66FA7" w:rsidRPr="00F66FA7" w:rsidRDefault="00F66FA7" w:rsidP="00F66FA7">
            <w:pPr>
              <w:pStyle w:val="Prrafodelista"/>
              <w:numPr>
                <w:ilvl w:val="0"/>
                <w:numId w:val="20"/>
              </w:numPr>
              <w:autoSpaceDE w:val="0"/>
              <w:autoSpaceDN w:val="0"/>
              <w:adjustRightInd w:val="0"/>
              <w:jc w:val="both"/>
              <w:rPr>
                <w:rFonts w:ascii="Arial" w:eastAsia="Times New Roman" w:hAnsi="Arial" w:cs="Arial"/>
                <w:sz w:val="24"/>
                <w:szCs w:val="24"/>
                <w:lang w:val="es-ES" w:eastAsia="es-ES"/>
              </w:rPr>
            </w:pPr>
            <w:r w:rsidRPr="00F66FA7">
              <w:rPr>
                <w:rFonts w:ascii="Arial" w:eastAsia="Times New Roman" w:hAnsi="Arial" w:cs="Arial"/>
                <w:sz w:val="24"/>
                <w:szCs w:val="24"/>
                <w:lang w:val="es-ES" w:eastAsia="es-ES"/>
              </w:rPr>
              <w:t>Numeral 5.4.2 "Pagos a Capital a Prorrata" a partir del 31 de julio de 2025.</w:t>
            </w:r>
          </w:p>
          <w:p w14:paraId="4FF3F48F" w14:textId="686426BF" w:rsidR="00F66FA7" w:rsidRPr="00F66FA7" w:rsidRDefault="00F66FA7" w:rsidP="00F66FA7">
            <w:pPr>
              <w:pStyle w:val="Prrafodelista"/>
              <w:numPr>
                <w:ilvl w:val="0"/>
                <w:numId w:val="20"/>
              </w:numPr>
              <w:autoSpaceDE w:val="0"/>
              <w:autoSpaceDN w:val="0"/>
              <w:adjustRightInd w:val="0"/>
              <w:jc w:val="both"/>
              <w:rPr>
                <w:rFonts w:ascii="Arial" w:eastAsia="Times New Roman" w:hAnsi="Arial" w:cs="Arial"/>
                <w:sz w:val="24"/>
                <w:szCs w:val="24"/>
                <w:lang w:val="es-ES" w:eastAsia="es-ES"/>
              </w:rPr>
            </w:pPr>
            <w:r w:rsidRPr="00F66FA7">
              <w:rPr>
                <w:rFonts w:ascii="Arial" w:eastAsia="Times New Roman" w:hAnsi="Arial" w:cs="Arial"/>
                <w:sz w:val="24"/>
                <w:szCs w:val="24"/>
                <w:lang w:val="es-ES" w:eastAsia="es-ES"/>
              </w:rPr>
              <w:t>Capítulo 4° “Crédito Educativo AVC y Cesantías” 31 de octubre de 2025.</w:t>
            </w:r>
          </w:p>
          <w:p w14:paraId="722283DF" w14:textId="3143A07E" w:rsidR="00CA610C" w:rsidRPr="00F66FA7" w:rsidRDefault="00F66FA7" w:rsidP="00F66FA7">
            <w:pPr>
              <w:pStyle w:val="Prrafodelista"/>
              <w:numPr>
                <w:ilvl w:val="0"/>
                <w:numId w:val="20"/>
              </w:numPr>
              <w:autoSpaceDE w:val="0"/>
              <w:autoSpaceDN w:val="0"/>
              <w:adjustRightInd w:val="0"/>
              <w:jc w:val="both"/>
              <w:rPr>
                <w:rFonts w:ascii="Arial" w:eastAsia="Times New Roman" w:hAnsi="Arial" w:cs="Arial"/>
                <w:sz w:val="24"/>
                <w:szCs w:val="24"/>
                <w:lang w:val="es-ES" w:eastAsia="es-ES"/>
              </w:rPr>
            </w:pPr>
            <w:r w:rsidRPr="00F66FA7">
              <w:rPr>
                <w:rFonts w:ascii="Arial" w:eastAsia="Times New Roman" w:hAnsi="Arial" w:cs="Arial"/>
                <w:sz w:val="24"/>
                <w:szCs w:val="24"/>
                <w:lang w:val="es-ES" w:eastAsia="es-ES"/>
              </w:rPr>
              <w:t>Los numerales relacionados en el Capítulo 2 y Capitulo 6 ‘Crédito de Mejora de Vivienda sin Constitución de Garantía Hipotecaria” y “Crédito Asociativo para Mejora de Vivienda”, entrarán en vigor, a partir, del 30 de noviembre de 2025, siempre y cuando los desarrollos tecnológicos así lo permitan y se haya surtido satisfactoriamente el proceso licitatorio correspondiente a las pólizas de seguros requeridas para este producto, conforme a la normativa vigente y a los lineamientos establecidos por las áreas competentes. Excepcionalmente, si las condiciones relacionadas lo permiten el producto podrá entrar en vigor con anterioridad a la vigencia establecida.</w:t>
            </w:r>
          </w:p>
          <w:p w14:paraId="08AB7051" w14:textId="6CF0E7D7" w:rsidR="004B06FD" w:rsidRPr="00F66FA7" w:rsidRDefault="004B06FD" w:rsidP="00A029A8">
            <w:pPr>
              <w:autoSpaceDE w:val="0"/>
              <w:autoSpaceDN w:val="0"/>
              <w:adjustRightInd w:val="0"/>
              <w:ind w:left="164"/>
              <w:jc w:val="both"/>
              <w:rPr>
                <w:rFonts w:cs="Arial"/>
                <w:sz w:val="24"/>
                <w:szCs w:val="24"/>
              </w:rPr>
            </w:pPr>
          </w:p>
        </w:tc>
      </w:tr>
      <w:tr w:rsidR="00FF1E8D" w:rsidRPr="001234DE" w14:paraId="4DFAF129" w14:textId="77777777" w:rsidTr="476A8247">
        <w:trPr>
          <w:trHeight w:val="1085"/>
        </w:trPr>
        <w:tc>
          <w:tcPr>
            <w:tcW w:w="8977" w:type="dxa"/>
          </w:tcPr>
          <w:p w14:paraId="5CE16560" w14:textId="38C4EA83" w:rsidR="00C94E4C" w:rsidRPr="001234DE" w:rsidRDefault="00950ADC" w:rsidP="005F1A82">
            <w:pPr>
              <w:jc w:val="both"/>
              <w:rPr>
                <w:rFonts w:cs="Arial"/>
                <w:b/>
                <w:sz w:val="24"/>
                <w:szCs w:val="24"/>
              </w:rPr>
            </w:pPr>
            <w:r>
              <w:rPr>
                <w:rFonts w:cs="Arial"/>
                <w:b/>
                <w:bCs/>
                <w:sz w:val="24"/>
                <w:szCs w:val="24"/>
              </w:rPr>
              <w:lastRenderedPageBreak/>
              <w:br/>
            </w:r>
            <w:r w:rsidR="0009232C"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002EAF" w:rsidRPr="00F410E1">
              <w:rPr>
                <w:rFonts w:cs="Arial"/>
                <w:bCs/>
                <w:sz w:val="24"/>
                <w:szCs w:val="24"/>
              </w:rPr>
              <w:t>Acta 101</w:t>
            </w:r>
            <w:r w:rsidR="00CA610C" w:rsidRPr="00F410E1">
              <w:rPr>
                <w:rFonts w:cs="Arial"/>
                <w:bCs/>
                <w:sz w:val="24"/>
                <w:szCs w:val="24"/>
              </w:rPr>
              <w:t>2</w:t>
            </w:r>
            <w:r w:rsidR="00002EAF" w:rsidRPr="00F410E1">
              <w:rPr>
                <w:rFonts w:cs="Arial"/>
                <w:bCs/>
                <w:sz w:val="24"/>
                <w:szCs w:val="24"/>
              </w:rPr>
              <w:t xml:space="preserve"> </w:t>
            </w:r>
            <w:r w:rsidR="001745EE" w:rsidRPr="00F410E1">
              <w:rPr>
                <w:rFonts w:cs="Arial"/>
                <w:bCs/>
                <w:sz w:val="24"/>
                <w:szCs w:val="24"/>
              </w:rPr>
              <w:t>de 20</w:t>
            </w:r>
            <w:r w:rsidR="00AE359D" w:rsidRPr="00F410E1">
              <w:rPr>
                <w:rFonts w:cs="Arial"/>
                <w:bCs/>
                <w:sz w:val="24"/>
                <w:szCs w:val="24"/>
              </w:rPr>
              <w:t>2</w:t>
            </w:r>
            <w:r w:rsidR="00E264C1" w:rsidRPr="00F410E1">
              <w:rPr>
                <w:rFonts w:cs="Arial"/>
                <w:bCs/>
                <w:sz w:val="24"/>
                <w:szCs w:val="24"/>
              </w:rPr>
              <w:t>5</w:t>
            </w:r>
            <w:r w:rsidR="00353B58" w:rsidRPr="00F410E1">
              <w:rPr>
                <w:rFonts w:cs="Arial"/>
                <w:bCs/>
                <w:sz w:val="24"/>
                <w:szCs w:val="24"/>
              </w:rPr>
              <w:t>,</w:t>
            </w:r>
            <w:r w:rsidR="001745EE" w:rsidRPr="00F410E1">
              <w:rPr>
                <w:rFonts w:cs="Arial"/>
                <w:bCs/>
                <w:sz w:val="24"/>
                <w:szCs w:val="24"/>
              </w:rPr>
              <w:t xml:space="preserve"> por medio del cual se adopta la Versión </w:t>
            </w:r>
            <w:r w:rsidR="00CA610C" w:rsidRPr="00F410E1">
              <w:rPr>
                <w:rFonts w:cs="Arial"/>
                <w:bCs/>
                <w:sz w:val="24"/>
                <w:szCs w:val="24"/>
              </w:rPr>
              <w:t>9</w:t>
            </w:r>
            <w:r w:rsidR="00140271" w:rsidRPr="00F410E1">
              <w:rPr>
                <w:rFonts w:cs="Arial"/>
                <w:bCs/>
                <w:sz w:val="24"/>
                <w:szCs w:val="24"/>
              </w:rPr>
              <w:t xml:space="preserve"> </w:t>
            </w:r>
            <w:r w:rsidR="001745EE" w:rsidRPr="00F410E1">
              <w:rPr>
                <w:rFonts w:cs="Arial"/>
                <w:bCs/>
                <w:sz w:val="24"/>
                <w:szCs w:val="24"/>
              </w:rPr>
              <w:t xml:space="preserve">del </w:t>
            </w:r>
            <w:r w:rsidR="001745EE" w:rsidRPr="00F410E1">
              <w:rPr>
                <w:rFonts w:cs="Arial"/>
                <w:iCs/>
                <w:sz w:val="24"/>
                <w:szCs w:val="24"/>
              </w:rPr>
              <w:t>Reglamento de Crédito y Leasing Habitacional en el Fondo Nacional del Ahorro</w:t>
            </w:r>
            <w:r w:rsidR="0020680C" w:rsidRPr="00F410E1">
              <w:rPr>
                <w:rFonts w:cs="Arial"/>
                <w:iCs/>
                <w:sz w:val="24"/>
                <w:szCs w:val="24"/>
              </w:rPr>
              <w:t xml:space="preserve"> S.A</w:t>
            </w:r>
            <w:r w:rsidR="00C94E4C" w:rsidRPr="00F410E1">
              <w:rPr>
                <w:rFonts w:cs="Arial"/>
                <w:iCs/>
                <w:sz w:val="24"/>
                <w:szCs w:val="24"/>
              </w:rPr>
              <w:t>.</w:t>
            </w:r>
          </w:p>
        </w:tc>
      </w:tr>
      <w:tr w:rsidR="00A56AE8" w:rsidRPr="001234DE" w14:paraId="1C495618" w14:textId="77777777" w:rsidTr="476A8247">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4B087C3F" w14:textId="18E061DE" w:rsidR="00002EAF" w:rsidRDefault="00002EAF" w:rsidP="00002EAF">
            <w:pPr>
              <w:jc w:val="both"/>
              <w:rPr>
                <w:rFonts w:cs="Arial"/>
                <w:iCs/>
                <w:sz w:val="24"/>
                <w:szCs w:val="24"/>
                <w:lang w:val="es-CO"/>
              </w:rPr>
            </w:pPr>
            <w:r w:rsidRPr="00002EAF">
              <w:rPr>
                <w:rFonts w:cs="Arial"/>
                <w:iCs/>
                <w:sz w:val="24"/>
                <w:szCs w:val="24"/>
                <w:lang w:val="es-CO"/>
              </w:rPr>
              <w:t xml:space="preserve">En cumplimiento de lo dispuesto en el Decreto 0413 del </w:t>
            </w:r>
            <w:r w:rsidR="00632DFB">
              <w:rPr>
                <w:rFonts w:cs="Arial"/>
                <w:iCs/>
                <w:sz w:val="24"/>
                <w:szCs w:val="24"/>
                <w:lang w:val="es-CO"/>
              </w:rPr>
              <w:t>0</w:t>
            </w:r>
            <w:r w:rsidRPr="00002EAF">
              <w:rPr>
                <w:rFonts w:cs="Arial"/>
                <w:iCs/>
                <w:sz w:val="24"/>
                <w:szCs w:val="24"/>
                <w:lang w:val="es-CO"/>
              </w:rPr>
              <w:t>3 de abril de 2025, expedido por el Ministerio de Vivienda, Ciudad y Territorio,</w:t>
            </w:r>
            <w:r w:rsidR="00632DFB">
              <w:rPr>
                <w:rFonts w:cs="Arial"/>
                <w:iCs/>
                <w:sz w:val="24"/>
                <w:szCs w:val="24"/>
                <w:lang w:val="es-CO"/>
              </w:rPr>
              <w:t xml:space="preserve"> </w:t>
            </w:r>
            <w:r w:rsidRPr="00002EAF">
              <w:rPr>
                <w:rFonts w:cs="Arial"/>
                <w:iCs/>
                <w:sz w:val="24"/>
                <w:szCs w:val="24"/>
                <w:lang w:val="es-CO"/>
              </w:rPr>
              <w:t>el Fondo Nacional del Ahorro S.A. considera pertinente realizar ajustes normativos que permitan ampliar el acceso a sus líneas de crédito.</w:t>
            </w:r>
          </w:p>
          <w:p w14:paraId="60ADACA2" w14:textId="77777777" w:rsidR="00647B83" w:rsidRDefault="00647B83" w:rsidP="00002EAF">
            <w:pPr>
              <w:jc w:val="both"/>
              <w:rPr>
                <w:rFonts w:cs="Arial"/>
                <w:iCs/>
                <w:sz w:val="24"/>
                <w:szCs w:val="24"/>
                <w:lang w:val="es-CO"/>
              </w:rPr>
            </w:pPr>
          </w:p>
          <w:p w14:paraId="370FD0FE" w14:textId="52B9F67F" w:rsidR="00950ADC" w:rsidRDefault="00647B83" w:rsidP="00002EAF">
            <w:pPr>
              <w:jc w:val="both"/>
              <w:rPr>
                <w:rFonts w:cs="Arial"/>
                <w:iCs/>
                <w:sz w:val="24"/>
                <w:szCs w:val="24"/>
                <w:lang w:val="es-CO"/>
              </w:rPr>
            </w:pPr>
            <w:r w:rsidRPr="00647B83">
              <w:rPr>
                <w:rFonts w:cs="Arial"/>
                <w:iCs/>
                <w:sz w:val="24"/>
                <w:szCs w:val="24"/>
              </w:rPr>
              <w:lastRenderedPageBreak/>
              <w:t>En este contexto, se habilita la posibilidad de que los afiliados por Cesantías y Ahorro Voluntario Contractual (AVC), en calidad de propietarios o poseedores ante el Fondo Nacional del Ahorro</w:t>
            </w:r>
            <w:r w:rsidR="00A8468C">
              <w:rPr>
                <w:rFonts w:cs="Arial"/>
                <w:iCs/>
                <w:sz w:val="24"/>
                <w:szCs w:val="24"/>
              </w:rPr>
              <w:t xml:space="preserve"> S.A.</w:t>
            </w:r>
            <w:r w:rsidRPr="00647B83">
              <w:rPr>
                <w:rFonts w:cs="Arial"/>
                <w:iCs/>
                <w:sz w:val="24"/>
                <w:szCs w:val="24"/>
              </w:rPr>
              <w:t>, accedan a la línea de crédito para mejora de vivienda sin necesidad de constituir garantía hipotecaria. Esta medida busca facilitar el acceso a soluciones de vivienda digna, especialmente para quienes no cuentan con una propiedad que respalde un crédito. Por ello, se hace necesario ajustar el Reglamento de Crédito y Leasing Habitacional en los siguientes numerales:</w:t>
            </w:r>
          </w:p>
          <w:p w14:paraId="34D49ACA" w14:textId="68AC8266" w:rsidR="00F410E1" w:rsidRDefault="00827530" w:rsidP="00950ADC">
            <w:pPr>
              <w:spacing w:before="100" w:beforeAutospacing="1" w:after="100" w:afterAutospacing="1"/>
              <w:jc w:val="both"/>
              <w:rPr>
                <w:rFonts w:cs="Arial"/>
                <w:iCs/>
                <w:sz w:val="24"/>
                <w:szCs w:val="24"/>
                <w:lang w:val="es-CO"/>
              </w:rPr>
            </w:pPr>
            <w:r w:rsidRPr="00F410E1">
              <w:rPr>
                <w:rFonts w:cs="Arial"/>
                <w:sz w:val="24"/>
                <w:szCs w:val="24"/>
                <w:lang w:val="es-CO" w:eastAsia="es-CO"/>
              </w:rPr>
              <w:t>1</w:t>
            </w:r>
            <w:r w:rsidRPr="00F410E1">
              <w:rPr>
                <w:rFonts w:cs="Arial"/>
                <w:iCs/>
                <w:sz w:val="24"/>
                <w:szCs w:val="24"/>
                <w:lang w:val="es-CO"/>
              </w:rPr>
              <w:t xml:space="preserve">.3 </w:t>
            </w:r>
            <w:r w:rsidR="00F914D5" w:rsidRPr="00F410E1">
              <w:rPr>
                <w:rFonts w:cs="Arial"/>
                <w:iCs/>
                <w:sz w:val="24"/>
                <w:szCs w:val="24"/>
                <w:lang w:val="es-CO"/>
              </w:rPr>
              <w:t>R</w:t>
            </w:r>
            <w:r w:rsidRPr="00F410E1">
              <w:rPr>
                <w:rFonts w:cs="Arial"/>
                <w:iCs/>
                <w:sz w:val="24"/>
                <w:szCs w:val="24"/>
                <w:lang w:val="es-CO"/>
              </w:rPr>
              <w:t xml:space="preserve">equisitos para presentar solicitud de </w:t>
            </w:r>
            <w:r w:rsidR="00F914D5" w:rsidRPr="00F410E1">
              <w:rPr>
                <w:rFonts w:cs="Arial"/>
                <w:iCs/>
                <w:sz w:val="24"/>
                <w:szCs w:val="24"/>
                <w:lang w:val="es-CO"/>
              </w:rPr>
              <w:t>C</w:t>
            </w:r>
            <w:r w:rsidRPr="00F410E1">
              <w:rPr>
                <w:rFonts w:cs="Arial"/>
                <w:iCs/>
                <w:sz w:val="24"/>
                <w:szCs w:val="24"/>
                <w:lang w:val="es-CO"/>
              </w:rPr>
              <w:t xml:space="preserve">rédito </w:t>
            </w:r>
            <w:r w:rsidR="00F410E1" w:rsidRPr="00F410E1">
              <w:rPr>
                <w:rFonts w:cs="Arial"/>
                <w:iCs/>
                <w:sz w:val="24"/>
                <w:szCs w:val="24"/>
                <w:lang w:val="es-CO"/>
              </w:rPr>
              <w:t>Hipotecario, Mejora de Vivienda sin constitución de Garantía Hipotecaria,</w:t>
            </w:r>
            <w:r w:rsidRPr="00F410E1">
              <w:rPr>
                <w:rFonts w:cs="Arial"/>
                <w:iCs/>
                <w:sz w:val="24"/>
                <w:szCs w:val="24"/>
                <w:lang w:val="es-CO"/>
              </w:rPr>
              <w:t xml:space="preserve"> </w:t>
            </w:r>
            <w:r w:rsidR="00F914D5" w:rsidRPr="00F410E1">
              <w:rPr>
                <w:rFonts w:cs="Arial"/>
                <w:iCs/>
                <w:sz w:val="24"/>
                <w:szCs w:val="24"/>
                <w:lang w:val="es-CO"/>
              </w:rPr>
              <w:t>E</w:t>
            </w:r>
            <w:r w:rsidRPr="00F410E1">
              <w:rPr>
                <w:rFonts w:cs="Arial"/>
                <w:iCs/>
                <w:sz w:val="24"/>
                <w:szCs w:val="24"/>
                <w:lang w:val="es-CO"/>
              </w:rPr>
              <w:t xml:space="preserve">ducativo y </w:t>
            </w:r>
            <w:r w:rsidR="00F914D5" w:rsidRPr="00F410E1">
              <w:rPr>
                <w:rFonts w:cs="Arial"/>
                <w:iCs/>
                <w:sz w:val="24"/>
                <w:szCs w:val="24"/>
                <w:lang w:val="es-CO"/>
              </w:rPr>
              <w:t>L</w:t>
            </w:r>
            <w:r w:rsidRPr="00F410E1">
              <w:rPr>
                <w:rFonts w:cs="Arial"/>
                <w:iCs/>
                <w:sz w:val="24"/>
                <w:szCs w:val="24"/>
                <w:lang w:val="es-CO"/>
              </w:rPr>
              <w:t xml:space="preserve">easing habitacional en el </w:t>
            </w:r>
            <w:r w:rsidR="00950ADC" w:rsidRPr="00F410E1">
              <w:rPr>
                <w:rFonts w:cs="Arial"/>
                <w:iCs/>
                <w:sz w:val="24"/>
                <w:szCs w:val="24"/>
                <w:lang w:val="es-CO"/>
              </w:rPr>
              <w:t>F</w:t>
            </w:r>
            <w:r w:rsidRPr="00F410E1">
              <w:rPr>
                <w:rFonts w:cs="Arial"/>
                <w:iCs/>
                <w:sz w:val="24"/>
                <w:szCs w:val="24"/>
                <w:lang w:val="es-CO"/>
              </w:rPr>
              <w:t xml:space="preserve">ondo </w:t>
            </w:r>
            <w:r w:rsidR="00950ADC" w:rsidRPr="00F410E1">
              <w:rPr>
                <w:rFonts w:cs="Arial"/>
                <w:iCs/>
                <w:sz w:val="24"/>
                <w:szCs w:val="24"/>
                <w:lang w:val="es-CO"/>
              </w:rPr>
              <w:t>N</w:t>
            </w:r>
            <w:r w:rsidRPr="00F410E1">
              <w:rPr>
                <w:rFonts w:cs="Arial"/>
                <w:iCs/>
                <w:sz w:val="24"/>
                <w:szCs w:val="24"/>
                <w:lang w:val="es-CO"/>
              </w:rPr>
              <w:t xml:space="preserve">acional del </w:t>
            </w:r>
            <w:r w:rsidR="00950ADC" w:rsidRPr="00F410E1">
              <w:rPr>
                <w:rFonts w:cs="Arial"/>
                <w:iCs/>
                <w:sz w:val="24"/>
                <w:szCs w:val="24"/>
                <w:lang w:val="es-CO"/>
              </w:rPr>
              <w:t>A</w:t>
            </w:r>
            <w:r w:rsidRPr="00F410E1">
              <w:rPr>
                <w:rFonts w:cs="Arial"/>
                <w:iCs/>
                <w:sz w:val="24"/>
                <w:szCs w:val="24"/>
                <w:lang w:val="es-CO"/>
              </w:rPr>
              <w:t xml:space="preserve">horro </w:t>
            </w:r>
            <w:r w:rsidR="00950ADC" w:rsidRPr="00F410E1">
              <w:rPr>
                <w:rFonts w:cs="Arial"/>
                <w:iCs/>
                <w:sz w:val="24"/>
                <w:szCs w:val="24"/>
                <w:lang w:val="es-CO"/>
              </w:rPr>
              <w:t>S.A.</w:t>
            </w:r>
            <w:r w:rsidRPr="00F410E1">
              <w:rPr>
                <w:rFonts w:cs="Arial"/>
                <w:iCs/>
                <w:sz w:val="24"/>
                <w:szCs w:val="24"/>
                <w:lang w:val="es-CO"/>
              </w:rPr>
              <w:t xml:space="preserve">, </w:t>
            </w:r>
            <w:r w:rsidR="00F410E1" w:rsidRPr="00F410E1">
              <w:rPr>
                <w:rFonts w:cs="Arial"/>
                <w:iCs/>
                <w:sz w:val="24"/>
                <w:szCs w:val="24"/>
                <w:lang w:val="es-CO"/>
              </w:rPr>
              <w:t>1.8.2 Seguro de incendio grupo deudores,1.10.1    Beneficio Tributario,1.1</w:t>
            </w:r>
            <w:r w:rsidR="00F410E1">
              <w:rPr>
                <w:rFonts w:cs="Arial"/>
                <w:iCs/>
                <w:sz w:val="24"/>
                <w:szCs w:val="24"/>
                <w:lang w:val="es-CO"/>
              </w:rPr>
              <w:t>1 A</w:t>
            </w:r>
            <w:r w:rsidR="00F410E1" w:rsidRPr="00F410E1">
              <w:rPr>
                <w:rFonts w:cs="Arial"/>
                <w:iCs/>
                <w:sz w:val="24"/>
                <w:szCs w:val="24"/>
                <w:lang w:val="es-CO"/>
              </w:rPr>
              <w:t xml:space="preserve">valúo y </w:t>
            </w:r>
            <w:r w:rsidR="00F410E1">
              <w:rPr>
                <w:rFonts w:cs="Arial"/>
                <w:iCs/>
                <w:sz w:val="24"/>
                <w:szCs w:val="24"/>
                <w:lang w:val="es-CO"/>
              </w:rPr>
              <w:t>E</w:t>
            </w:r>
            <w:r w:rsidR="00F410E1" w:rsidRPr="00F410E1">
              <w:rPr>
                <w:rFonts w:cs="Arial"/>
                <w:iCs/>
                <w:sz w:val="24"/>
                <w:szCs w:val="24"/>
                <w:lang w:val="es-CO"/>
              </w:rPr>
              <w:t>studio de títulos</w:t>
            </w:r>
            <w:r w:rsidRPr="00F410E1">
              <w:rPr>
                <w:rFonts w:cs="Arial"/>
                <w:iCs/>
                <w:sz w:val="24"/>
                <w:szCs w:val="24"/>
                <w:lang w:val="es-CO"/>
              </w:rPr>
              <w:t xml:space="preserve">, </w:t>
            </w:r>
            <w:r w:rsidR="00F410E1" w:rsidRPr="00F410E1">
              <w:rPr>
                <w:rFonts w:cs="Arial"/>
                <w:iCs/>
                <w:sz w:val="24"/>
                <w:szCs w:val="24"/>
                <w:lang w:val="es-CO"/>
              </w:rPr>
              <w:t>1.13 Causales de exigibilidad anticipada para las finalidades de Crédito Construcción de vivienda en Sitio Propio, Mejora de Vivienda con Garantía hipotecaria y Mejora de Vivienda sin Constituir Garantía Hipotecaria</w:t>
            </w:r>
            <w:r w:rsidR="00F410E1">
              <w:rPr>
                <w:rFonts w:cs="Arial"/>
                <w:iCs/>
                <w:sz w:val="24"/>
                <w:szCs w:val="24"/>
                <w:lang w:val="es-CO"/>
              </w:rPr>
              <w:t xml:space="preserve">, </w:t>
            </w:r>
            <w:r w:rsidR="00F410E1" w:rsidRPr="00F410E1">
              <w:rPr>
                <w:rFonts w:cs="Arial"/>
                <w:iCs/>
                <w:sz w:val="24"/>
                <w:szCs w:val="24"/>
                <w:lang w:val="es-CO"/>
              </w:rPr>
              <w:t>2.8</w:t>
            </w:r>
            <w:r w:rsidR="00F410E1">
              <w:rPr>
                <w:rFonts w:cs="Arial"/>
                <w:iCs/>
                <w:sz w:val="24"/>
                <w:szCs w:val="24"/>
                <w:lang w:val="es-CO"/>
              </w:rPr>
              <w:t xml:space="preserve"> A</w:t>
            </w:r>
            <w:r w:rsidR="00F410E1" w:rsidRPr="00F410E1">
              <w:rPr>
                <w:rFonts w:cs="Arial"/>
                <w:iCs/>
                <w:sz w:val="24"/>
                <w:szCs w:val="24"/>
                <w:lang w:val="es-CO"/>
              </w:rPr>
              <w:t xml:space="preserve">mortización de créditos hipotecarios, </w:t>
            </w:r>
            <w:r w:rsidR="00F410E1">
              <w:rPr>
                <w:rFonts w:cs="Arial"/>
                <w:iCs/>
                <w:sz w:val="24"/>
                <w:szCs w:val="24"/>
                <w:lang w:val="es-CO"/>
              </w:rPr>
              <w:t>M</w:t>
            </w:r>
            <w:r w:rsidR="00F410E1" w:rsidRPr="00F410E1">
              <w:rPr>
                <w:rFonts w:cs="Arial"/>
                <w:iCs/>
                <w:sz w:val="24"/>
                <w:szCs w:val="24"/>
                <w:lang w:val="es-CO"/>
              </w:rPr>
              <w:t xml:space="preserve">ejora de </w:t>
            </w:r>
            <w:r w:rsidR="00F410E1">
              <w:rPr>
                <w:rFonts w:cs="Arial"/>
                <w:iCs/>
                <w:sz w:val="24"/>
                <w:szCs w:val="24"/>
                <w:lang w:val="es-CO"/>
              </w:rPr>
              <w:t>V</w:t>
            </w:r>
            <w:r w:rsidR="00F410E1" w:rsidRPr="00F410E1">
              <w:rPr>
                <w:rFonts w:cs="Arial"/>
                <w:iCs/>
                <w:sz w:val="24"/>
                <w:szCs w:val="24"/>
                <w:lang w:val="es-CO"/>
              </w:rPr>
              <w:t xml:space="preserve">ivienda sin constitución de </w:t>
            </w:r>
            <w:r w:rsidR="00F410E1">
              <w:rPr>
                <w:rFonts w:cs="Arial"/>
                <w:iCs/>
                <w:sz w:val="24"/>
                <w:szCs w:val="24"/>
                <w:lang w:val="es-CO"/>
              </w:rPr>
              <w:t>G</w:t>
            </w:r>
            <w:r w:rsidR="00F410E1" w:rsidRPr="00F410E1">
              <w:rPr>
                <w:rFonts w:cs="Arial"/>
                <w:iCs/>
                <w:sz w:val="24"/>
                <w:szCs w:val="24"/>
                <w:lang w:val="es-CO"/>
              </w:rPr>
              <w:t xml:space="preserve">arantía hipotecaria y </w:t>
            </w:r>
            <w:r w:rsidR="00F410E1">
              <w:rPr>
                <w:rFonts w:cs="Arial"/>
                <w:iCs/>
                <w:sz w:val="24"/>
                <w:szCs w:val="24"/>
                <w:lang w:val="es-CO"/>
              </w:rPr>
              <w:t>L</w:t>
            </w:r>
            <w:r w:rsidR="00F410E1" w:rsidRPr="00F410E1">
              <w:rPr>
                <w:rFonts w:cs="Arial"/>
                <w:iCs/>
                <w:sz w:val="24"/>
                <w:szCs w:val="24"/>
                <w:lang w:val="es-CO"/>
              </w:rPr>
              <w:t>easing habitacional</w:t>
            </w:r>
            <w:r w:rsidR="00F410E1">
              <w:rPr>
                <w:rFonts w:cs="Arial"/>
                <w:iCs/>
                <w:sz w:val="24"/>
                <w:szCs w:val="24"/>
                <w:lang w:val="es-CO"/>
              </w:rPr>
              <w:t xml:space="preserve">, </w:t>
            </w:r>
            <w:r w:rsidR="00F410E1" w:rsidRPr="00F410E1">
              <w:rPr>
                <w:rFonts w:cs="Arial"/>
                <w:iCs/>
                <w:sz w:val="24"/>
                <w:szCs w:val="24"/>
                <w:lang w:val="es-CO"/>
              </w:rPr>
              <w:t>2.12</w:t>
            </w:r>
            <w:r w:rsidR="00A029A8">
              <w:rPr>
                <w:rFonts w:cs="Arial"/>
                <w:iCs/>
                <w:sz w:val="24"/>
                <w:szCs w:val="24"/>
                <w:lang w:val="es-CO"/>
              </w:rPr>
              <w:t xml:space="preserve"> </w:t>
            </w:r>
            <w:r w:rsidR="00F410E1" w:rsidRPr="00F410E1">
              <w:rPr>
                <w:rFonts w:cs="Arial"/>
                <w:iCs/>
                <w:sz w:val="24"/>
                <w:szCs w:val="24"/>
                <w:lang w:val="es-CO"/>
              </w:rPr>
              <w:t xml:space="preserve"> </w:t>
            </w:r>
            <w:r w:rsidR="00A029A8">
              <w:rPr>
                <w:rFonts w:cs="Arial"/>
                <w:iCs/>
                <w:sz w:val="24"/>
                <w:szCs w:val="24"/>
                <w:lang w:val="es-CO"/>
              </w:rPr>
              <w:t>A</w:t>
            </w:r>
            <w:r w:rsidR="00A029A8" w:rsidRPr="00F410E1">
              <w:rPr>
                <w:rFonts w:cs="Arial"/>
                <w:iCs/>
                <w:sz w:val="24"/>
                <w:szCs w:val="24"/>
                <w:lang w:val="es-CO"/>
              </w:rPr>
              <w:t xml:space="preserve">ceptación de la </w:t>
            </w:r>
            <w:r w:rsidR="00A029A8">
              <w:rPr>
                <w:rFonts w:cs="Arial"/>
                <w:iCs/>
                <w:sz w:val="24"/>
                <w:szCs w:val="24"/>
                <w:lang w:val="es-CO"/>
              </w:rPr>
              <w:t>O</w:t>
            </w:r>
            <w:r w:rsidR="00A029A8" w:rsidRPr="00F410E1">
              <w:rPr>
                <w:rFonts w:cs="Arial"/>
                <w:iCs/>
                <w:sz w:val="24"/>
                <w:szCs w:val="24"/>
                <w:lang w:val="es-CO"/>
              </w:rPr>
              <w:t xml:space="preserve">ferta por el </w:t>
            </w:r>
            <w:r w:rsidR="00A029A8">
              <w:rPr>
                <w:rFonts w:cs="Arial"/>
                <w:iCs/>
                <w:sz w:val="24"/>
                <w:szCs w:val="24"/>
                <w:lang w:val="es-CO"/>
              </w:rPr>
              <w:t>A</w:t>
            </w:r>
            <w:r w:rsidR="00A029A8" w:rsidRPr="00F410E1">
              <w:rPr>
                <w:rFonts w:cs="Arial"/>
                <w:iCs/>
                <w:sz w:val="24"/>
                <w:szCs w:val="24"/>
                <w:lang w:val="es-CO"/>
              </w:rPr>
              <w:t>filiado</w:t>
            </w:r>
          </w:p>
          <w:p w14:paraId="25BAA0A0" w14:textId="07CBE9CA" w:rsidR="004511F8" w:rsidRDefault="004511F8" w:rsidP="00950ADC">
            <w:pPr>
              <w:spacing w:before="100" w:beforeAutospacing="1" w:after="100" w:afterAutospacing="1"/>
              <w:jc w:val="both"/>
              <w:rPr>
                <w:rFonts w:cs="Arial"/>
                <w:iCs/>
                <w:sz w:val="24"/>
                <w:szCs w:val="24"/>
                <w:lang w:val="es-CO"/>
              </w:rPr>
            </w:pPr>
            <w:r>
              <w:rPr>
                <w:rFonts w:cs="Arial"/>
                <w:iCs/>
                <w:sz w:val="24"/>
                <w:szCs w:val="24"/>
                <w:lang w:val="es-CO"/>
              </w:rPr>
              <w:t xml:space="preserve">Así mismo, se incluyen los siguientes numerales: </w:t>
            </w:r>
          </w:p>
          <w:p w14:paraId="2BBF0AF9" w14:textId="6331FF34" w:rsidR="00F410E1" w:rsidRDefault="00F410E1" w:rsidP="00B44160">
            <w:pPr>
              <w:jc w:val="both"/>
              <w:rPr>
                <w:rFonts w:cs="Arial"/>
                <w:iCs/>
                <w:sz w:val="24"/>
                <w:szCs w:val="24"/>
                <w:lang w:val="es-CO"/>
              </w:rPr>
            </w:pPr>
            <w:r w:rsidRPr="00F410E1">
              <w:rPr>
                <w:rFonts w:cs="Arial"/>
                <w:iCs/>
                <w:sz w:val="24"/>
                <w:szCs w:val="24"/>
                <w:lang w:val="es-CO"/>
              </w:rPr>
              <w:t xml:space="preserve">2.22 </w:t>
            </w:r>
            <w:r w:rsidR="00A029A8">
              <w:rPr>
                <w:rFonts w:cs="Arial"/>
                <w:iCs/>
                <w:sz w:val="24"/>
                <w:szCs w:val="24"/>
                <w:lang w:val="es-CO"/>
              </w:rPr>
              <w:t>P</w:t>
            </w:r>
            <w:r w:rsidR="00A029A8" w:rsidRPr="00F410E1">
              <w:rPr>
                <w:rFonts w:cs="Arial"/>
                <w:iCs/>
                <w:sz w:val="24"/>
                <w:szCs w:val="24"/>
                <w:lang w:val="es-CO"/>
              </w:rPr>
              <w:t xml:space="preserve">articularidades: </w:t>
            </w:r>
            <w:r w:rsidR="00A029A8">
              <w:rPr>
                <w:rFonts w:cs="Arial"/>
                <w:iCs/>
                <w:sz w:val="24"/>
                <w:szCs w:val="24"/>
                <w:lang w:val="es-CO"/>
              </w:rPr>
              <w:t>M</w:t>
            </w:r>
            <w:r w:rsidR="00A029A8" w:rsidRPr="00F410E1">
              <w:rPr>
                <w:rFonts w:cs="Arial"/>
                <w:iCs/>
                <w:sz w:val="24"/>
                <w:szCs w:val="24"/>
                <w:lang w:val="es-CO"/>
              </w:rPr>
              <w:t xml:space="preserve">ejora de </w:t>
            </w:r>
            <w:r w:rsidR="00A029A8">
              <w:rPr>
                <w:rFonts w:cs="Arial"/>
                <w:iCs/>
                <w:sz w:val="24"/>
                <w:szCs w:val="24"/>
                <w:lang w:val="es-CO"/>
              </w:rPr>
              <w:t>V</w:t>
            </w:r>
            <w:r w:rsidR="00A029A8" w:rsidRPr="00F410E1">
              <w:rPr>
                <w:rFonts w:cs="Arial"/>
                <w:iCs/>
                <w:sz w:val="24"/>
                <w:szCs w:val="24"/>
                <w:lang w:val="es-CO"/>
              </w:rPr>
              <w:t xml:space="preserve">ivienda sin constitución de </w:t>
            </w:r>
            <w:r w:rsidR="00A029A8">
              <w:rPr>
                <w:rFonts w:cs="Arial"/>
                <w:iCs/>
                <w:sz w:val="24"/>
                <w:szCs w:val="24"/>
                <w:lang w:val="es-CO"/>
              </w:rPr>
              <w:t>G</w:t>
            </w:r>
            <w:r w:rsidR="00A029A8" w:rsidRPr="00F410E1">
              <w:rPr>
                <w:rFonts w:cs="Arial"/>
                <w:iCs/>
                <w:sz w:val="24"/>
                <w:szCs w:val="24"/>
                <w:lang w:val="es-CO"/>
              </w:rPr>
              <w:t xml:space="preserve">arantía </w:t>
            </w:r>
            <w:r w:rsidR="00A029A8">
              <w:rPr>
                <w:rFonts w:cs="Arial"/>
                <w:iCs/>
                <w:sz w:val="24"/>
                <w:szCs w:val="24"/>
                <w:lang w:val="es-CO"/>
              </w:rPr>
              <w:t>H</w:t>
            </w:r>
            <w:r w:rsidR="00A029A8" w:rsidRPr="00F410E1">
              <w:rPr>
                <w:rFonts w:cs="Arial"/>
                <w:iCs/>
                <w:sz w:val="24"/>
                <w:szCs w:val="24"/>
                <w:lang w:val="es-CO"/>
              </w:rPr>
              <w:t>ipotecaria</w:t>
            </w:r>
            <w:r>
              <w:rPr>
                <w:rFonts w:cs="Arial"/>
                <w:iCs/>
                <w:sz w:val="24"/>
                <w:szCs w:val="24"/>
                <w:lang w:val="es-CO"/>
              </w:rPr>
              <w:t xml:space="preserve">: </w:t>
            </w:r>
            <w:r w:rsidRPr="00F410E1">
              <w:rPr>
                <w:rFonts w:cs="Arial"/>
                <w:iCs/>
                <w:sz w:val="24"/>
                <w:szCs w:val="24"/>
                <w:lang w:val="es-CO"/>
              </w:rPr>
              <w:t>2.22.1 Generalidades: Mejora par Vivienda sin Constitución de Garantía Hipotecaria, 2.22.1.1 Remodelación o reparaciones locativas, 2.22.1.2 Locativo, 2.22.1.3 Servicios Públicos Domiciliarios, 2.22.2 Ampliación, modificación o reforzamiento estructural, 2.22.2.1 Reducción de la vulnerabilidad, 2.22.2.2 Estructural, 2.22.2.3 Modular, 2.23</w:t>
            </w:r>
            <w:r w:rsidR="00A029A8">
              <w:rPr>
                <w:rFonts w:cs="Arial"/>
                <w:iCs/>
                <w:sz w:val="24"/>
                <w:szCs w:val="24"/>
                <w:lang w:val="es-CO"/>
              </w:rPr>
              <w:t xml:space="preserve"> C</w:t>
            </w:r>
            <w:r w:rsidR="00A029A8" w:rsidRPr="00F410E1">
              <w:rPr>
                <w:rFonts w:cs="Arial"/>
                <w:iCs/>
                <w:sz w:val="24"/>
                <w:szCs w:val="24"/>
                <w:lang w:val="es-CO"/>
              </w:rPr>
              <w:t xml:space="preserve">rédito </w:t>
            </w:r>
            <w:r w:rsidR="00A029A8">
              <w:rPr>
                <w:rFonts w:cs="Arial"/>
                <w:iCs/>
                <w:sz w:val="24"/>
                <w:szCs w:val="24"/>
                <w:lang w:val="es-CO"/>
              </w:rPr>
              <w:t>I</w:t>
            </w:r>
            <w:r w:rsidR="00A029A8" w:rsidRPr="00F410E1">
              <w:rPr>
                <w:rFonts w:cs="Arial"/>
                <w:iCs/>
                <w:sz w:val="24"/>
                <w:szCs w:val="24"/>
                <w:lang w:val="es-CO"/>
              </w:rPr>
              <w:t xml:space="preserve">ndividual y </w:t>
            </w:r>
            <w:r w:rsidR="00A029A8">
              <w:rPr>
                <w:rFonts w:cs="Arial"/>
                <w:iCs/>
                <w:sz w:val="24"/>
                <w:szCs w:val="24"/>
                <w:lang w:val="es-CO"/>
              </w:rPr>
              <w:t>C</w:t>
            </w:r>
            <w:r w:rsidR="00A029A8" w:rsidRPr="00F410E1">
              <w:rPr>
                <w:rFonts w:cs="Arial"/>
                <w:iCs/>
                <w:sz w:val="24"/>
                <w:szCs w:val="24"/>
                <w:lang w:val="es-CO"/>
              </w:rPr>
              <w:t xml:space="preserve">onjunto para </w:t>
            </w:r>
            <w:r w:rsidR="00A029A8">
              <w:rPr>
                <w:rFonts w:cs="Arial"/>
                <w:iCs/>
                <w:sz w:val="24"/>
                <w:szCs w:val="24"/>
                <w:lang w:val="es-CO"/>
              </w:rPr>
              <w:t>M</w:t>
            </w:r>
            <w:r w:rsidR="00A029A8" w:rsidRPr="00F410E1">
              <w:rPr>
                <w:rFonts w:cs="Arial"/>
                <w:iCs/>
                <w:sz w:val="24"/>
                <w:szCs w:val="24"/>
                <w:lang w:val="es-CO"/>
              </w:rPr>
              <w:t>ejora de</w:t>
            </w:r>
            <w:r w:rsidR="00A029A8">
              <w:rPr>
                <w:rFonts w:cs="Arial"/>
                <w:iCs/>
                <w:sz w:val="24"/>
                <w:szCs w:val="24"/>
                <w:lang w:val="es-CO"/>
              </w:rPr>
              <w:t xml:space="preserve"> V</w:t>
            </w:r>
            <w:r w:rsidR="00A029A8" w:rsidRPr="00F410E1">
              <w:rPr>
                <w:rFonts w:cs="Arial"/>
                <w:iCs/>
                <w:sz w:val="24"/>
                <w:szCs w:val="24"/>
                <w:lang w:val="es-CO"/>
              </w:rPr>
              <w:t xml:space="preserve">ivienda </w:t>
            </w:r>
            <w:r w:rsidR="00A029A8">
              <w:rPr>
                <w:rFonts w:cs="Arial"/>
                <w:iCs/>
                <w:sz w:val="24"/>
                <w:szCs w:val="24"/>
                <w:lang w:val="es-CO"/>
              </w:rPr>
              <w:t>s</w:t>
            </w:r>
            <w:r w:rsidR="00A029A8" w:rsidRPr="00F410E1">
              <w:rPr>
                <w:rFonts w:cs="Arial"/>
                <w:iCs/>
                <w:sz w:val="24"/>
                <w:szCs w:val="24"/>
                <w:lang w:val="es-CO"/>
              </w:rPr>
              <w:t xml:space="preserve">in </w:t>
            </w:r>
            <w:r w:rsidR="00A029A8">
              <w:rPr>
                <w:rFonts w:cs="Arial"/>
                <w:iCs/>
                <w:sz w:val="24"/>
                <w:szCs w:val="24"/>
                <w:lang w:val="es-CO"/>
              </w:rPr>
              <w:t>C</w:t>
            </w:r>
            <w:r w:rsidR="00A029A8" w:rsidRPr="00F410E1">
              <w:rPr>
                <w:rFonts w:cs="Arial"/>
                <w:iCs/>
                <w:sz w:val="24"/>
                <w:szCs w:val="24"/>
                <w:lang w:val="es-CO"/>
              </w:rPr>
              <w:t xml:space="preserve">onstitución de </w:t>
            </w:r>
            <w:r w:rsidR="00A029A8">
              <w:rPr>
                <w:rFonts w:cs="Arial"/>
                <w:iCs/>
                <w:sz w:val="24"/>
                <w:szCs w:val="24"/>
                <w:lang w:val="es-CO"/>
              </w:rPr>
              <w:t>Ga</w:t>
            </w:r>
            <w:r w:rsidR="00A029A8" w:rsidRPr="00F410E1">
              <w:rPr>
                <w:rFonts w:cs="Arial"/>
                <w:iCs/>
                <w:sz w:val="24"/>
                <w:szCs w:val="24"/>
                <w:lang w:val="es-CO"/>
              </w:rPr>
              <w:t>rantía hipotecaria</w:t>
            </w:r>
            <w:r w:rsidRPr="00F410E1">
              <w:rPr>
                <w:rFonts w:cs="Arial"/>
                <w:iCs/>
                <w:sz w:val="24"/>
                <w:szCs w:val="24"/>
                <w:lang w:val="es-CO"/>
              </w:rPr>
              <w:t>,2.24</w:t>
            </w:r>
            <w:r>
              <w:rPr>
                <w:rFonts w:cs="Arial"/>
                <w:iCs/>
                <w:sz w:val="24"/>
                <w:szCs w:val="24"/>
                <w:lang w:val="es-CO"/>
              </w:rPr>
              <w:t xml:space="preserve"> </w:t>
            </w:r>
            <w:r w:rsidR="00A029A8">
              <w:rPr>
                <w:rFonts w:cs="Arial"/>
                <w:iCs/>
                <w:sz w:val="24"/>
                <w:szCs w:val="24"/>
                <w:lang w:val="es-CO"/>
              </w:rPr>
              <w:t>C</w:t>
            </w:r>
            <w:r w:rsidR="00A029A8" w:rsidRPr="00F410E1">
              <w:rPr>
                <w:rFonts w:cs="Arial"/>
                <w:iCs/>
                <w:sz w:val="24"/>
                <w:szCs w:val="24"/>
                <w:lang w:val="es-CO"/>
              </w:rPr>
              <w:t xml:space="preserve">ondiciones para </w:t>
            </w:r>
            <w:r w:rsidR="00A029A8">
              <w:rPr>
                <w:rFonts w:cs="Arial"/>
                <w:iCs/>
                <w:sz w:val="24"/>
                <w:szCs w:val="24"/>
                <w:lang w:val="es-CO"/>
              </w:rPr>
              <w:t>D</w:t>
            </w:r>
            <w:r w:rsidR="00A029A8" w:rsidRPr="00F410E1">
              <w:rPr>
                <w:rFonts w:cs="Arial"/>
                <w:iCs/>
                <w:sz w:val="24"/>
                <w:szCs w:val="24"/>
                <w:lang w:val="es-CO"/>
              </w:rPr>
              <w:t xml:space="preserve">esembolsos, </w:t>
            </w:r>
            <w:r w:rsidRPr="00F410E1">
              <w:rPr>
                <w:rFonts w:cs="Arial"/>
                <w:iCs/>
                <w:sz w:val="24"/>
                <w:szCs w:val="24"/>
                <w:lang w:val="es-CO"/>
              </w:rPr>
              <w:t>2.25</w:t>
            </w:r>
            <w:r w:rsidR="00A029A8">
              <w:rPr>
                <w:rFonts w:cs="Arial"/>
                <w:iCs/>
                <w:sz w:val="24"/>
                <w:szCs w:val="24"/>
                <w:lang w:val="es-CO"/>
              </w:rPr>
              <w:t xml:space="preserve"> </w:t>
            </w:r>
            <w:r w:rsidRPr="00F410E1">
              <w:rPr>
                <w:rFonts w:cs="Arial"/>
                <w:iCs/>
                <w:sz w:val="24"/>
                <w:szCs w:val="24"/>
                <w:lang w:val="es-CO"/>
              </w:rPr>
              <w:t xml:space="preserve"> </w:t>
            </w:r>
            <w:r w:rsidR="00A029A8">
              <w:rPr>
                <w:rFonts w:cs="Arial"/>
                <w:iCs/>
                <w:sz w:val="24"/>
                <w:szCs w:val="24"/>
                <w:lang w:val="es-CO"/>
              </w:rPr>
              <w:t>D</w:t>
            </w:r>
            <w:r w:rsidR="00A029A8" w:rsidRPr="00F410E1">
              <w:rPr>
                <w:rFonts w:cs="Arial"/>
                <w:iCs/>
                <w:sz w:val="24"/>
                <w:szCs w:val="24"/>
                <w:lang w:val="es-CO"/>
              </w:rPr>
              <w:t xml:space="preserve">ocumentos y </w:t>
            </w:r>
            <w:r w:rsidR="00A029A8">
              <w:rPr>
                <w:rFonts w:cs="Arial"/>
                <w:iCs/>
                <w:sz w:val="24"/>
                <w:szCs w:val="24"/>
                <w:lang w:val="es-CO"/>
              </w:rPr>
              <w:t>G</w:t>
            </w:r>
            <w:r w:rsidR="00A029A8" w:rsidRPr="00F410E1">
              <w:rPr>
                <w:rFonts w:cs="Arial"/>
                <w:iCs/>
                <w:sz w:val="24"/>
                <w:szCs w:val="24"/>
                <w:lang w:val="es-CO"/>
              </w:rPr>
              <w:t>arantías</w:t>
            </w:r>
            <w:r w:rsidR="00317181">
              <w:rPr>
                <w:rFonts w:cs="Arial"/>
                <w:iCs/>
                <w:sz w:val="24"/>
                <w:szCs w:val="24"/>
                <w:lang w:val="es-CO"/>
              </w:rPr>
              <w:t xml:space="preserve">. </w:t>
            </w:r>
          </w:p>
          <w:p w14:paraId="12A952E3" w14:textId="0F1F78CC" w:rsidR="00317181" w:rsidRDefault="00317181" w:rsidP="00B44160">
            <w:pPr>
              <w:jc w:val="both"/>
              <w:rPr>
                <w:rFonts w:cs="Arial"/>
                <w:iCs/>
                <w:sz w:val="24"/>
                <w:szCs w:val="24"/>
                <w:lang w:val="es-CO"/>
              </w:rPr>
            </w:pPr>
            <w:r>
              <w:rPr>
                <w:rFonts w:cs="Arial"/>
                <w:iCs/>
                <w:sz w:val="24"/>
                <w:szCs w:val="24"/>
                <w:lang w:val="es-CO"/>
              </w:rPr>
              <w:t xml:space="preserve">Finalmente se modifica la tabla de contenido del Reglamento. </w:t>
            </w:r>
          </w:p>
          <w:p w14:paraId="335715A1" w14:textId="77777777" w:rsidR="001C7FA8" w:rsidRDefault="001C7FA8" w:rsidP="00B44160">
            <w:pPr>
              <w:jc w:val="both"/>
              <w:rPr>
                <w:rFonts w:cs="Arial"/>
                <w:iCs/>
                <w:sz w:val="24"/>
                <w:szCs w:val="24"/>
                <w:lang w:val="es-CO"/>
              </w:rPr>
            </w:pPr>
          </w:p>
          <w:p w14:paraId="5549FBA3" w14:textId="20F7F594" w:rsidR="001C7FA8" w:rsidRDefault="69A2722F" w:rsidP="476A8247">
            <w:pPr>
              <w:jc w:val="both"/>
              <w:rPr>
                <w:rFonts w:cs="Arial"/>
                <w:sz w:val="24"/>
                <w:szCs w:val="24"/>
                <w:lang w:val="es-CO"/>
              </w:rPr>
            </w:pPr>
            <w:r w:rsidRPr="476A8247">
              <w:rPr>
                <w:rFonts w:cs="Arial"/>
                <w:sz w:val="24"/>
                <w:szCs w:val="24"/>
                <w:lang w:val="es-CO"/>
              </w:rPr>
              <w:t xml:space="preserve">Ahora bien, en cuanto al </w:t>
            </w:r>
            <w:r w:rsidR="5A7D2B24" w:rsidRPr="476A8247">
              <w:rPr>
                <w:rFonts w:cs="Arial"/>
                <w:sz w:val="24"/>
                <w:szCs w:val="24"/>
                <w:lang w:val="es-CO"/>
              </w:rPr>
              <w:t>capítulo</w:t>
            </w:r>
            <w:r w:rsidRPr="476A8247">
              <w:rPr>
                <w:rFonts w:cs="Arial"/>
                <w:sz w:val="24"/>
                <w:szCs w:val="24"/>
                <w:lang w:val="es-CO"/>
              </w:rPr>
              <w:t xml:space="preserve"> 6, “Crédito Asociativo para Mejora de Vivienda” se incluyen los numerales relacionados a continuación: </w:t>
            </w:r>
          </w:p>
          <w:p w14:paraId="6A27D7A2" w14:textId="77777777" w:rsidR="001C7FA8" w:rsidRDefault="001C7FA8" w:rsidP="00B44160">
            <w:pPr>
              <w:jc w:val="both"/>
              <w:rPr>
                <w:rFonts w:cs="Arial"/>
                <w:iCs/>
                <w:sz w:val="24"/>
                <w:szCs w:val="24"/>
                <w:lang w:val="es-CO"/>
              </w:rPr>
            </w:pPr>
          </w:p>
          <w:p w14:paraId="3AA70A20" w14:textId="10D94C3E" w:rsidR="001C7FA8" w:rsidRPr="00A029A8" w:rsidRDefault="00AE0176" w:rsidP="00B44160">
            <w:pPr>
              <w:jc w:val="both"/>
              <w:rPr>
                <w:rFonts w:cs="Arial"/>
                <w:iCs/>
                <w:sz w:val="24"/>
                <w:szCs w:val="24"/>
                <w:lang w:val="es-CO"/>
              </w:rPr>
            </w:pPr>
            <w:r w:rsidRPr="001B5F6A">
              <w:rPr>
                <w:rFonts w:cs="Arial"/>
                <w:iCs/>
                <w:sz w:val="24"/>
                <w:szCs w:val="24"/>
              </w:rPr>
              <w:t xml:space="preserve">6.1 </w:t>
            </w:r>
            <w:r w:rsidR="00F77084">
              <w:rPr>
                <w:rFonts w:cs="Arial"/>
                <w:iCs/>
                <w:sz w:val="24"/>
                <w:szCs w:val="24"/>
              </w:rPr>
              <w:t>S</w:t>
            </w:r>
            <w:r w:rsidRPr="001B5F6A">
              <w:rPr>
                <w:rFonts w:cs="Arial"/>
                <w:iCs/>
                <w:sz w:val="24"/>
                <w:szCs w:val="24"/>
              </w:rPr>
              <w:t xml:space="preserve">ujeto de </w:t>
            </w:r>
            <w:r w:rsidR="00F77084">
              <w:rPr>
                <w:rFonts w:cs="Arial"/>
                <w:iCs/>
                <w:sz w:val="24"/>
                <w:szCs w:val="24"/>
              </w:rPr>
              <w:t>C</w:t>
            </w:r>
            <w:r w:rsidRPr="001B5F6A">
              <w:rPr>
                <w:rFonts w:cs="Arial"/>
                <w:iCs/>
                <w:sz w:val="24"/>
                <w:szCs w:val="24"/>
              </w:rPr>
              <w:t>rédito</w:t>
            </w:r>
            <w:r w:rsidRPr="00AE0176">
              <w:rPr>
                <w:rFonts w:cs="Arial"/>
                <w:iCs/>
                <w:sz w:val="24"/>
                <w:szCs w:val="24"/>
              </w:rPr>
              <w:t xml:space="preserve">, </w:t>
            </w:r>
            <w:r w:rsidRPr="001B5F6A">
              <w:rPr>
                <w:rFonts w:cs="Arial"/>
                <w:iCs/>
                <w:sz w:val="24"/>
                <w:szCs w:val="24"/>
              </w:rPr>
              <w:t xml:space="preserve">6.2 </w:t>
            </w:r>
            <w:r w:rsidR="00F77084">
              <w:rPr>
                <w:rFonts w:cs="Arial"/>
                <w:iCs/>
                <w:sz w:val="24"/>
                <w:szCs w:val="24"/>
              </w:rPr>
              <w:t>F</w:t>
            </w:r>
            <w:r w:rsidRPr="001B5F6A">
              <w:rPr>
                <w:rFonts w:cs="Arial"/>
                <w:iCs/>
                <w:sz w:val="24"/>
                <w:szCs w:val="24"/>
              </w:rPr>
              <w:t>inalidad</w:t>
            </w:r>
            <w:r w:rsidRPr="00AE0176">
              <w:rPr>
                <w:rFonts w:cs="Arial"/>
                <w:iCs/>
                <w:sz w:val="24"/>
                <w:szCs w:val="24"/>
              </w:rPr>
              <w:t xml:space="preserve">, </w:t>
            </w:r>
            <w:r w:rsidRPr="001B5F6A">
              <w:rPr>
                <w:rFonts w:cs="Arial"/>
                <w:iCs/>
                <w:sz w:val="24"/>
                <w:szCs w:val="24"/>
              </w:rPr>
              <w:t>6.3</w:t>
            </w:r>
            <w:r w:rsidR="00F77084">
              <w:rPr>
                <w:rFonts w:cs="Arial"/>
                <w:iCs/>
                <w:sz w:val="24"/>
                <w:szCs w:val="24"/>
              </w:rPr>
              <w:t xml:space="preserve"> C</w:t>
            </w:r>
            <w:r w:rsidRPr="001B5F6A">
              <w:rPr>
                <w:rFonts w:cs="Arial"/>
                <w:iCs/>
                <w:sz w:val="24"/>
                <w:szCs w:val="24"/>
              </w:rPr>
              <w:t xml:space="preserve">ondiciones de </w:t>
            </w:r>
            <w:r w:rsidR="00F77084">
              <w:rPr>
                <w:rFonts w:cs="Arial"/>
                <w:iCs/>
                <w:sz w:val="24"/>
                <w:szCs w:val="24"/>
              </w:rPr>
              <w:t>S</w:t>
            </w:r>
            <w:r w:rsidRPr="001B5F6A">
              <w:rPr>
                <w:rFonts w:cs="Arial"/>
                <w:iCs/>
                <w:sz w:val="24"/>
                <w:szCs w:val="24"/>
              </w:rPr>
              <w:t xml:space="preserve">olicitud de </w:t>
            </w:r>
            <w:r w:rsidR="00F77084">
              <w:rPr>
                <w:rFonts w:cs="Arial"/>
                <w:iCs/>
                <w:sz w:val="24"/>
                <w:szCs w:val="24"/>
              </w:rPr>
              <w:t>C</w:t>
            </w:r>
            <w:r w:rsidRPr="001B5F6A">
              <w:rPr>
                <w:rFonts w:cs="Arial"/>
                <w:iCs/>
                <w:sz w:val="24"/>
                <w:szCs w:val="24"/>
              </w:rPr>
              <w:t>rédito</w:t>
            </w:r>
            <w:r w:rsidRPr="00AE0176">
              <w:rPr>
                <w:rFonts w:cs="Arial"/>
                <w:iCs/>
                <w:sz w:val="24"/>
                <w:szCs w:val="24"/>
              </w:rPr>
              <w:t xml:space="preserve">, </w:t>
            </w:r>
            <w:r w:rsidRPr="001B5F6A">
              <w:rPr>
                <w:rFonts w:cs="Arial"/>
                <w:iCs/>
                <w:sz w:val="24"/>
                <w:szCs w:val="24"/>
              </w:rPr>
              <w:t>6.3.1</w:t>
            </w:r>
            <w:r w:rsidR="00F77084">
              <w:rPr>
                <w:rFonts w:cs="Arial"/>
                <w:iCs/>
                <w:sz w:val="24"/>
                <w:szCs w:val="24"/>
              </w:rPr>
              <w:t xml:space="preserve"> P</w:t>
            </w:r>
            <w:r w:rsidRPr="001B5F6A">
              <w:rPr>
                <w:rFonts w:cs="Arial"/>
                <w:iCs/>
                <w:sz w:val="24"/>
                <w:szCs w:val="24"/>
              </w:rPr>
              <w:t xml:space="preserve">erfil del </w:t>
            </w:r>
            <w:r w:rsidR="00F77084">
              <w:rPr>
                <w:rFonts w:cs="Arial"/>
                <w:iCs/>
                <w:sz w:val="24"/>
                <w:szCs w:val="24"/>
              </w:rPr>
              <w:t>C</w:t>
            </w:r>
            <w:r w:rsidRPr="001B5F6A">
              <w:rPr>
                <w:rFonts w:cs="Arial"/>
                <w:iCs/>
                <w:sz w:val="24"/>
                <w:szCs w:val="24"/>
              </w:rPr>
              <w:t>liente</w:t>
            </w:r>
            <w:r w:rsidRPr="00AE0176">
              <w:rPr>
                <w:rFonts w:cs="Arial"/>
                <w:iCs/>
                <w:sz w:val="24"/>
                <w:szCs w:val="24"/>
              </w:rPr>
              <w:t xml:space="preserve">, </w:t>
            </w:r>
            <w:r w:rsidRPr="001B5F6A">
              <w:rPr>
                <w:rFonts w:cs="Arial"/>
                <w:iCs/>
                <w:sz w:val="24"/>
                <w:szCs w:val="24"/>
              </w:rPr>
              <w:t xml:space="preserve">6.3.2 </w:t>
            </w:r>
            <w:r w:rsidR="00F77084">
              <w:rPr>
                <w:rFonts w:cs="Arial"/>
                <w:iCs/>
                <w:sz w:val="24"/>
                <w:szCs w:val="24"/>
              </w:rPr>
              <w:t>R</w:t>
            </w:r>
            <w:r w:rsidR="00F77084" w:rsidRPr="001B5F6A">
              <w:rPr>
                <w:rFonts w:cs="Arial"/>
                <w:iCs/>
                <w:sz w:val="24"/>
                <w:szCs w:val="24"/>
              </w:rPr>
              <w:t>equisitos para</w:t>
            </w:r>
            <w:r w:rsidRPr="001B5F6A">
              <w:rPr>
                <w:rFonts w:cs="Arial"/>
                <w:iCs/>
                <w:sz w:val="24"/>
                <w:szCs w:val="24"/>
              </w:rPr>
              <w:t xml:space="preserve"> la </w:t>
            </w:r>
            <w:r w:rsidR="00F77084">
              <w:rPr>
                <w:rFonts w:cs="Arial"/>
                <w:iCs/>
                <w:sz w:val="24"/>
                <w:szCs w:val="24"/>
              </w:rPr>
              <w:t>S</w:t>
            </w:r>
            <w:r w:rsidRPr="001B5F6A">
              <w:rPr>
                <w:rFonts w:cs="Arial"/>
                <w:iCs/>
                <w:sz w:val="24"/>
                <w:szCs w:val="24"/>
              </w:rPr>
              <w:t xml:space="preserve">olicitud del </w:t>
            </w:r>
            <w:r w:rsidR="00F77084">
              <w:rPr>
                <w:rFonts w:cs="Arial"/>
                <w:iCs/>
                <w:sz w:val="24"/>
                <w:szCs w:val="24"/>
              </w:rPr>
              <w:t>C</w:t>
            </w:r>
            <w:r w:rsidRPr="001B5F6A">
              <w:rPr>
                <w:rFonts w:cs="Arial"/>
                <w:iCs/>
                <w:sz w:val="24"/>
                <w:szCs w:val="24"/>
              </w:rPr>
              <w:t>rédito</w:t>
            </w:r>
            <w:r w:rsidRPr="00AE0176">
              <w:rPr>
                <w:rFonts w:cs="Arial"/>
                <w:iCs/>
                <w:sz w:val="24"/>
                <w:szCs w:val="24"/>
              </w:rPr>
              <w:t xml:space="preserve">, </w:t>
            </w:r>
            <w:r w:rsidRPr="001B5F6A">
              <w:rPr>
                <w:rFonts w:cs="Arial"/>
                <w:iCs/>
                <w:sz w:val="24"/>
                <w:szCs w:val="24"/>
              </w:rPr>
              <w:t>6.3.3 perfil de proyectos para crédito asociativo mejora de vivienda</w:t>
            </w:r>
            <w:r w:rsidRPr="00AE0176">
              <w:rPr>
                <w:rFonts w:cs="Arial"/>
                <w:iCs/>
                <w:sz w:val="24"/>
                <w:szCs w:val="24"/>
              </w:rPr>
              <w:t xml:space="preserve">, </w:t>
            </w:r>
            <w:r w:rsidRPr="001B5F6A">
              <w:rPr>
                <w:rFonts w:cs="Arial"/>
                <w:iCs/>
                <w:sz w:val="24"/>
                <w:szCs w:val="24"/>
              </w:rPr>
              <w:t xml:space="preserve">6.4. </w:t>
            </w:r>
            <w:r w:rsidR="00F77084" w:rsidRPr="001B5F6A">
              <w:rPr>
                <w:rFonts w:cs="Arial"/>
                <w:iCs/>
                <w:sz w:val="24"/>
                <w:szCs w:val="24"/>
              </w:rPr>
              <w:t>aprobación</w:t>
            </w:r>
            <w:r w:rsidRPr="001B5F6A">
              <w:rPr>
                <w:rFonts w:cs="Arial"/>
                <w:iCs/>
                <w:sz w:val="24"/>
                <w:szCs w:val="24"/>
              </w:rPr>
              <w:t xml:space="preserve"> crédito 6.4.1 atribuciones para aprobación crédito asociativo para mejora de vivienda</w:t>
            </w:r>
            <w:r w:rsidRPr="00AE0176">
              <w:rPr>
                <w:rFonts w:cs="Arial"/>
                <w:iCs/>
                <w:sz w:val="24"/>
                <w:szCs w:val="24"/>
              </w:rPr>
              <w:t xml:space="preserve">, </w:t>
            </w:r>
            <w:r w:rsidR="00F77084" w:rsidRPr="001B5F6A">
              <w:rPr>
                <w:rFonts w:cs="Arial"/>
                <w:iCs/>
                <w:sz w:val="24"/>
                <w:szCs w:val="24"/>
              </w:rPr>
              <w:t xml:space="preserve">6.4.2 </w:t>
            </w:r>
            <w:r w:rsidR="00F77084">
              <w:rPr>
                <w:rFonts w:cs="Arial"/>
                <w:iCs/>
                <w:sz w:val="24"/>
                <w:szCs w:val="24"/>
              </w:rPr>
              <w:t>R</w:t>
            </w:r>
            <w:r w:rsidR="00F77084" w:rsidRPr="001B5F6A">
              <w:rPr>
                <w:rFonts w:cs="Arial"/>
                <w:iCs/>
                <w:sz w:val="24"/>
                <w:szCs w:val="24"/>
              </w:rPr>
              <w:t>equisitos</w:t>
            </w:r>
            <w:r w:rsidRPr="001B5F6A">
              <w:rPr>
                <w:rFonts w:cs="Arial"/>
                <w:iCs/>
                <w:sz w:val="24"/>
                <w:szCs w:val="24"/>
              </w:rPr>
              <w:t xml:space="preserve"> para la </w:t>
            </w:r>
            <w:r w:rsidR="00F77084" w:rsidRPr="001B5F6A">
              <w:rPr>
                <w:rFonts w:cs="Arial"/>
                <w:iCs/>
                <w:sz w:val="24"/>
                <w:szCs w:val="24"/>
              </w:rPr>
              <w:t>aprobación</w:t>
            </w:r>
            <w:r w:rsidRPr="00AE0176">
              <w:rPr>
                <w:rFonts w:cs="Arial"/>
                <w:iCs/>
                <w:sz w:val="24"/>
                <w:szCs w:val="24"/>
              </w:rPr>
              <w:t xml:space="preserve">, </w:t>
            </w:r>
            <w:r w:rsidRPr="001B5F6A">
              <w:rPr>
                <w:rFonts w:cs="Arial"/>
                <w:iCs/>
                <w:sz w:val="24"/>
                <w:szCs w:val="24"/>
              </w:rPr>
              <w:t>6.4.3.  alcance de la aprobación del crédito</w:t>
            </w:r>
            <w:r w:rsidRPr="00AE0176">
              <w:rPr>
                <w:rFonts w:cs="Arial"/>
                <w:iCs/>
                <w:sz w:val="24"/>
                <w:szCs w:val="24"/>
              </w:rPr>
              <w:t xml:space="preserve">, </w:t>
            </w:r>
            <w:r w:rsidRPr="001B5F6A">
              <w:rPr>
                <w:rFonts w:cs="Arial"/>
                <w:iCs/>
                <w:sz w:val="24"/>
                <w:szCs w:val="24"/>
              </w:rPr>
              <w:t>6.5 fuente de pago del crédito asociativo para mejora de vivienda</w:t>
            </w:r>
            <w:r w:rsidRPr="00AE0176">
              <w:rPr>
                <w:rFonts w:cs="Arial"/>
                <w:iCs/>
                <w:sz w:val="24"/>
                <w:szCs w:val="24"/>
              </w:rPr>
              <w:t xml:space="preserve">, </w:t>
            </w:r>
            <w:r w:rsidRPr="001B5F6A">
              <w:rPr>
                <w:rFonts w:cs="Arial"/>
                <w:iCs/>
                <w:sz w:val="24"/>
                <w:szCs w:val="24"/>
              </w:rPr>
              <w:t>6.5.1 pago a capital con los recursos de subsidios</w:t>
            </w:r>
            <w:r w:rsidRPr="00AE0176">
              <w:rPr>
                <w:rFonts w:cs="Arial"/>
                <w:iCs/>
                <w:sz w:val="24"/>
                <w:szCs w:val="24"/>
              </w:rPr>
              <w:t xml:space="preserve">, </w:t>
            </w:r>
            <w:r w:rsidRPr="001B5F6A">
              <w:rPr>
                <w:rFonts w:cs="Arial"/>
                <w:iCs/>
                <w:sz w:val="24"/>
                <w:szCs w:val="24"/>
              </w:rPr>
              <w:t>6.5.2. pago de intereses</w:t>
            </w:r>
            <w:r w:rsidRPr="00AE0176">
              <w:rPr>
                <w:rFonts w:cs="Arial"/>
                <w:iCs/>
                <w:sz w:val="24"/>
                <w:szCs w:val="24"/>
              </w:rPr>
              <w:t xml:space="preserve">, </w:t>
            </w:r>
            <w:r w:rsidRPr="001B5F6A">
              <w:rPr>
                <w:rFonts w:cs="Arial"/>
                <w:iCs/>
                <w:sz w:val="24"/>
                <w:szCs w:val="24"/>
              </w:rPr>
              <w:t>6.6. condiciones financieras del crédito asociativo para mejora de vivienda</w:t>
            </w:r>
            <w:r w:rsidRPr="00AE0176">
              <w:rPr>
                <w:rFonts w:cs="Arial"/>
                <w:iCs/>
                <w:sz w:val="24"/>
                <w:szCs w:val="24"/>
              </w:rPr>
              <w:t xml:space="preserve">, </w:t>
            </w:r>
            <w:r w:rsidRPr="001B5F6A">
              <w:rPr>
                <w:rFonts w:cs="Arial"/>
                <w:iCs/>
                <w:sz w:val="24"/>
                <w:szCs w:val="24"/>
              </w:rPr>
              <w:t xml:space="preserve">6.7. </w:t>
            </w:r>
            <w:r w:rsidR="00F77084" w:rsidRPr="001B5F6A">
              <w:rPr>
                <w:rFonts w:cs="Arial"/>
                <w:iCs/>
                <w:sz w:val="24"/>
                <w:szCs w:val="24"/>
              </w:rPr>
              <w:t>garantías</w:t>
            </w:r>
            <w:r w:rsidRPr="00AE0176">
              <w:rPr>
                <w:rFonts w:cs="Arial"/>
                <w:iCs/>
                <w:sz w:val="24"/>
                <w:szCs w:val="24"/>
              </w:rPr>
              <w:t xml:space="preserve">, </w:t>
            </w:r>
            <w:r w:rsidRPr="001B5F6A">
              <w:rPr>
                <w:rFonts w:cs="Arial"/>
                <w:iCs/>
                <w:sz w:val="24"/>
                <w:szCs w:val="24"/>
              </w:rPr>
              <w:t xml:space="preserve">6.8 </w:t>
            </w:r>
            <w:r w:rsidR="00F77084" w:rsidRPr="001B5F6A">
              <w:rPr>
                <w:rFonts w:cs="Arial"/>
                <w:iCs/>
                <w:sz w:val="24"/>
                <w:szCs w:val="24"/>
              </w:rPr>
              <w:lastRenderedPageBreak/>
              <w:t>pólizas</w:t>
            </w:r>
            <w:r w:rsidRPr="00AE0176">
              <w:rPr>
                <w:rFonts w:cs="Arial"/>
                <w:iCs/>
                <w:sz w:val="24"/>
                <w:szCs w:val="24"/>
              </w:rPr>
              <w:t xml:space="preserve">, </w:t>
            </w:r>
            <w:r w:rsidRPr="001B5F6A">
              <w:rPr>
                <w:rFonts w:cs="Arial"/>
                <w:iCs/>
                <w:sz w:val="24"/>
                <w:szCs w:val="24"/>
              </w:rPr>
              <w:t xml:space="preserve">6.9 oferta de </w:t>
            </w:r>
            <w:r w:rsidR="00F77084" w:rsidRPr="001B5F6A">
              <w:rPr>
                <w:rFonts w:cs="Arial"/>
                <w:iCs/>
                <w:sz w:val="24"/>
                <w:szCs w:val="24"/>
              </w:rPr>
              <w:t>crédito</w:t>
            </w:r>
            <w:r w:rsidRPr="00AE0176">
              <w:rPr>
                <w:rFonts w:cs="Arial"/>
                <w:iCs/>
                <w:sz w:val="24"/>
                <w:szCs w:val="24"/>
              </w:rPr>
              <w:t xml:space="preserve">, </w:t>
            </w:r>
            <w:r w:rsidRPr="001B5F6A">
              <w:rPr>
                <w:rFonts w:cs="Arial"/>
                <w:iCs/>
                <w:sz w:val="24"/>
                <w:szCs w:val="24"/>
              </w:rPr>
              <w:t>6.9.1 aceptación de la oferta</w:t>
            </w:r>
            <w:r w:rsidRPr="00AE0176">
              <w:rPr>
                <w:rFonts w:cs="Arial"/>
                <w:iCs/>
                <w:sz w:val="24"/>
                <w:szCs w:val="24"/>
              </w:rPr>
              <w:t xml:space="preserve">, </w:t>
            </w:r>
            <w:r w:rsidRPr="001B5F6A">
              <w:rPr>
                <w:rFonts w:cs="Arial"/>
                <w:iCs/>
                <w:sz w:val="24"/>
                <w:szCs w:val="24"/>
              </w:rPr>
              <w:t>6.9.2 suscripción del pagaré y carta de instrucciones</w:t>
            </w:r>
            <w:r w:rsidRPr="00AE0176">
              <w:rPr>
                <w:rFonts w:cs="Arial"/>
                <w:iCs/>
                <w:sz w:val="24"/>
                <w:szCs w:val="24"/>
              </w:rPr>
              <w:t xml:space="preserve">, </w:t>
            </w:r>
            <w:r w:rsidRPr="001B5F6A">
              <w:rPr>
                <w:rFonts w:cs="Arial"/>
                <w:iCs/>
                <w:sz w:val="24"/>
                <w:szCs w:val="24"/>
              </w:rPr>
              <w:t>6.9.3 vigencia oferta de crédito</w:t>
            </w:r>
            <w:r w:rsidRPr="00AE0176">
              <w:rPr>
                <w:rFonts w:cs="Arial"/>
                <w:iCs/>
                <w:sz w:val="24"/>
                <w:szCs w:val="24"/>
              </w:rPr>
              <w:t xml:space="preserve">, </w:t>
            </w:r>
            <w:r w:rsidRPr="001B5F6A">
              <w:rPr>
                <w:rFonts w:cs="Arial"/>
                <w:iCs/>
                <w:sz w:val="24"/>
                <w:szCs w:val="24"/>
              </w:rPr>
              <w:t>6.9.4 ampliación término oferta crédito asociativo para mejora de viviend</w:t>
            </w:r>
            <w:r w:rsidRPr="00AE0176">
              <w:rPr>
                <w:rFonts w:cs="Arial"/>
                <w:iCs/>
                <w:sz w:val="24"/>
                <w:szCs w:val="24"/>
              </w:rPr>
              <w:t xml:space="preserve">a, </w:t>
            </w:r>
            <w:r w:rsidRPr="001B5F6A">
              <w:rPr>
                <w:rFonts w:cs="Arial"/>
                <w:iCs/>
                <w:sz w:val="24"/>
                <w:szCs w:val="24"/>
              </w:rPr>
              <w:t>6.10 desembolsos</w:t>
            </w:r>
            <w:r w:rsidRPr="00AE0176">
              <w:rPr>
                <w:rFonts w:cs="Arial"/>
                <w:iCs/>
                <w:sz w:val="24"/>
                <w:szCs w:val="24"/>
              </w:rPr>
              <w:t xml:space="preserve">, </w:t>
            </w:r>
            <w:r w:rsidRPr="001B5F6A">
              <w:rPr>
                <w:rFonts w:cs="Arial"/>
                <w:iCs/>
                <w:sz w:val="24"/>
                <w:szCs w:val="24"/>
              </w:rPr>
              <w:t>6.10.1 requisitos para desembolsos crédito asociativo mejora de vivienda</w:t>
            </w:r>
            <w:r w:rsidRPr="00AE0176">
              <w:rPr>
                <w:rFonts w:cs="Arial"/>
                <w:iCs/>
                <w:sz w:val="24"/>
                <w:szCs w:val="24"/>
              </w:rPr>
              <w:t xml:space="preserve">, </w:t>
            </w:r>
            <w:r w:rsidRPr="001B5F6A">
              <w:rPr>
                <w:rFonts w:cs="Arial"/>
                <w:iCs/>
                <w:sz w:val="24"/>
                <w:szCs w:val="24"/>
              </w:rPr>
              <w:t>6.10.2 incumplimiento de requisitos para desembolso</w:t>
            </w:r>
            <w:r w:rsidRPr="00AE0176">
              <w:rPr>
                <w:rFonts w:cs="Arial"/>
                <w:iCs/>
                <w:sz w:val="24"/>
                <w:szCs w:val="24"/>
              </w:rPr>
              <w:t xml:space="preserve">, </w:t>
            </w:r>
            <w:r w:rsidRPr="001B5F6A">
              <w:rPr>
                <w:rFonts w:cs="Arial"/>
                <w:iCs/>
                <w:sz w:val="24"/>
                <w:szCs w:val="24"/>
              </w:rPr>
              <w:t>6.11 obligaciones del sujeto de crédito</w:t>
            </w:r>
            <w:r w:rsidR="00F1792D">
              <w:rPr>
                <w:rFonts w:cs="Arial"/>
                <w:iCs/>
                <w:sz w:val="24"/>
                <w:szCs w:val="24"/>
              </w:rPr>
              <w:t>.</w:t>
            </w:r>
            <w:r w:rsidR="001C7FA8">
              <w:rPr>
                <w:rFonts w:cs="Arial"/>
                <w:iCs/>
                <w:sz w:val="24"/>
                <w:szCs w:val="24"/>
                <w:lang w:val="es-CO"/>
              </w:rPr>
              <w:t xml:space="preserve"> </w:t>
            </w:r>
          </w:p>
          <w:p w14:paraId="4433FC38" w14:textId="77777777" w:rsidR="00F410E1" w:rsidRDefault="00F410E1" w:rsidP="00B44160">
            <w:pPr>
              <w:jc w:val="both"/>
              <w:rPr>
                <w:rFonts w:cs="Arial"/>
                <w:b/>
                <w:sz w:val="24"/>
                <w:szCs w:val="24"/>
              </w:rPr>
            </w:pPr>
          </w:p>
          <w:p w14:paraId="2B1BB513" w14:textId="343ADB3D"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los afiliados del Fondo Nacional del Ahorro S.A</w:t>
            </w:r>
            <w:r w:rsidR="00A029A8">
              <w:rPr>
                <w:rFonts w:cs="Arial"/>
                <w:sz w:val="24"/>
                <w:szCs w:val="24"/>
              </w:rPr>
              <w:t xml:space="preserve">, </w:t>
            </w:r>
            <w:r w:rsidR="003A6810" w:rsidRPr="00DA655C">
              <w:rPr>
                <w:rFonts w:cs="Arial"/>
                <w:sz w:val="24"/>
                <w:szCs w:val="24"/>
              </w:rPr>
              <w:t>usuarios de Crédito Hipotecari</w:t>
            </w:r>
            <w:r w:rsidR="00F1792D">
              <w:rPr>
                <w:rFonts w:cs="Arial"/>
                <w:sz w:val="24"/>
                <w:szCs w:val="24"/>
              </w:rPr>
              <w:t>o</w:t>
            </w:r>
            <w:r w:rsidR="00A029A8">
              <w:rPr>
                <w:rFonts w:cs="Arial"/>
                <w:sz w:val="24"/>
                <w:szCs w:val="24"/>
              </w:rPr>
              <w:t xml:space="preserve"> y </w:t>
            </w:r>
            <w:r w:rsidR="00CA610C">
              <w:rPr>
                <w:rFonts w:cs="Arial"/>
                <w:sz w:val="24"/>
                <w:szCs w:val="24"/>
              </w:rPr>
              <w:t>Mejora de Vivienda sin constitución de Garantía Hipotecaria</w:t>
            </w:r>
            <w:r w:rsidR="003A6810" w:rsidRPr="00DA655C">
              <w:rPr>
                <w:rFonts w:cs="Arial"/>
                <w:sz w:val="24"/>
                <w:szCs w:val="24"/>
              </w:rPr>
              <w:t xml:space="preserve"> y Leasing Habitacional</w:t>
            </w:r>
            <w:r w:rsidR="00F1792D">
              <w:rPr>
                <w:rFonts w:cs="Arial"/>
                <w:sz w:val="24"/>
                <w:szCs w:val="24"/>
              </w:rPr>
              <w:t xml:space="preserve"> y a las</w:t>
            </w:r>
            <w:r w:rsidR="00AD039D" w:rsidRPr="00DA655C">
              <w:rPr>
                <w:rFonts w:cs="Arial"/>
                <w:sz w:val="24"/>
                <w:szCs w:val="24"/>
              </w:rPr>
              <w:t xml:space="preserve"> </w:t>
            </w:r>
            <w:r w:rsidR="00F1792D">
              <w:rPr>
                <w:rFonts w:cs="Arial"/>
                <w:sz w:val="24"/>
                <w:szCs w:val="24"/>
              </w:rPr>
              <w:t>personas jurídicas y actores del sector de la economía popular.</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476A8247">
        <w:trPr>
          <w:trHeight w:val="511"/>
        </w:trPr>
        <w:tc>
          <w:tcPr>
            <w:tcW w:w="8977" w:type="dxa"/>
          </w:tcPr>
          <w:p w14:paraId="3A2151DD" w14:textId="0E6C6268" w:rsidR="00827530" w:rsidRPr="00827530" w:rsidRDefault="00AA6BD0" w:rsidP="00827530">
            <w:pPr>
              <w:jc w:val="both"/>
              <w:rPr>
                <w:rFonts w:cs="Arial"/>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827530">
              <w:t xml:space="preserve"> </w:t>
            </w:r>
            <w:r w:rsidR="00827530" w:rsidRPr="00827530">
              <w:rPr>
                <w:rFonts w:cs="Arial"/>
                <w:sz w:val="24"/>
                <w:szCs w:val="24"/>
              </w:rPr>
              <w:t>se debe tener en cuenta los siguientes impactos económicos tanto para el afiliado como para la Sociedad:</w:t>
            </w:r>
            <w:r w:rsidR="00827530" w:rsidRPr="00827530">
              <w:rPr>
                <w:rFonts w:cs="Arial"/>
                <w:sz w:val="24"/>
                <w:szCs w:val="24"/>
              </w:rPr>
              <w:br/>
            </w:r>
          </w:p>
          <w:p w14:paraId="592EF3EC"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Comisión Fondo Nacional de Garantías que será cobrada al Afiliado</w:t>
            </w:r>
          </w:p>
          <w:p w14:paraId="1B97ED51"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Seguro de Desempleo: como opcional</w:t>
            </w:r>
          </w:p>
          <w:p w14:paraId="13AB308D" w14:textId="50F98E6A" w:rsidR="00974BC6" w:rsidRPr="00827530" w:rsidRDefault="00827530" w:rsidP="00950ADC">
            <w:pPr>
              <w:pStyle w:val="Prrafodelista"/>
              <w:numPr>
                <w:ilvl w:val="0"/>
                <w:numId w:val="16"/>
              </w:numPr>
              <w:rPr>
                <w:rFonts w:cs="Arial"/>
                <w:bCs/>
                <w:sz w:val="24"/>
                <w:szCs w:val="24"/>
              </w:rPr>
            </w:pPr>
            <w:r w:rsidRPr="00827530">
              <w:rPr>
                <w:rFonts w:ascii="Arial" w:eastAsia="Times New Roman" w:hAnsi="Arial" w:cs="Arial"/>
                <w:sz w:val="24"/>
                <w:szCs w:val="24"/>
                <w:lang w:val="es-ES" w:eastAsia="es-ES"/>
              </w:rPr>
              <w:t>Desarrollos Tecnológicos y actualización de Formatos</w:t>
            </w:r>
            <w:r w:rsidR="00F1792D">
              <w:rPr>
                <w:rFonts w:ascii="Arial" w:eastAsia="Times New Roman" w:hAnsi="Arial" w:cs="Arial"/>
                <w:sz w:val="24"/>
                <w:szCs w:val="24"/>
                <w:lang w:val="es-ES" w:eastAsia="es-ES"/>
              </w:rPr>
              <w:t>.</w:t>
            </w:r>
            <w:r w:rsidRPr="00827530">
              <w:rPr>
                <w:rFonts w:cs="Arial"/>
                <w:bCs/>
                <w:sz w:val="24"/>
                <w:szCs w:val="24"/>
              </w:rPr>
              <w:t xml:space="preserve">  </w:t>
            </w:r>
          </w:p>
        </w:tc>
      </w:tr>
      <w:tr w:rsidR="00A56AE8" w:rsidRPr="001234DE" w14:paraId="02DC4B90" w14:textId="77777777" w:rsidTr="476A8247">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476A8247">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476A8247">
        <w:trPr>
          <w:trHeight w:val="1085"/>
        </w:trPr>
        <w:tc>
          <w:tcPr>
            <w:tcW w:w="8977" w:type="dxa"/>
          </w:tcPr>
          <w:p w14:paraId="22644637" w14:textId="77777777" w:rsidR="00D41EE3" w:rsidRPr="001234DE" w:rsidRDefault="00D41EE3" w:rsidP="009C2732">
            <w:pPr>
              <w:rPr>
                <w:rFonts w:cs="Arial"/>
                <w:b/>
                <w:sz w:val="24"/>
                <w:szCs w:val="24"/>
              </w:rPr>
            </w:pPr>
          </w:p>
          <w:p w14:paraId="7BE65E7B" w14:textId="3C967071"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075202">
              <w:rPr>
                <w:rFonts w:cs="Arial"/>
                <w:sz w:val="24"/>
                <w:szCs w:val="24"/>
              </w:rPr>
              <w:t xml:space="preserve">      </w:t>
            </w:r>
            <w:r w:rsidR="00F46B7E" w:rsidRPr="001234DE">
              <w:rPr>
                <w:rFonts w:cs="Arial"/>
                <w:sz w:val="24"/>
                <w:szCs w:val="24"/>
              </w:rPr>
              <w:t xml:space="preserve">  </w:t>
            </w:r>
            <w:r w:rsidR="005F255D">
              <w:rPr>
                <w:rFonts w:cs="Arial"/>
                <w:sz w:val="24"/>
                <w:szCs w:val="24"/>
              </w:rPr>
              <w:t>23</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F46B7E" w:rsidRPr="001234DE">
              <w:rPr>
                <w:rFonts w:cs="Arial"/>
                <w:sz w:val="24"/>
                <w:szCs w:val="24"/>
              </w:rPr>
              <w:t xml:space="preserve"> </w:t>
            </w:r>
            <w:r w:rsidR="005F255D">
              <w:rPr>
                <w:rFonts w:cs="Arial"/>
                <w:sz w:val="24"/>
                <w:szCs w:val="24"/>
              </w:rPr>
              <w:t>30</w:t>
            </w:r>
            <w:r w:rsidR="00F46B7E" w:rsidRPr="001234DE">
              <w:rPr>
                <w:rFonts w:cs="Arial"/>
                <w:sz w:val="24"/>
                <w:szCs w:val="24"/>
              </w:rPr>
              <w:t xml:space="preserve">      </w:t>
            </w:r>
            <w:r w:rsidR="00827530" w:rsidRPr="001234DE">
              <w:rPr>
                <w:rFonts w:cs="Arial"/>
                <w:sz w:val="24"/>
                <w:szCs w:val="24"/>
              </w:rPr>
              <w:t>de</w:t>
            </w:r>
            <w:r w:rsidR="00CA610C">
              <w:rPr>
                <w:rFonts w:cs="Arial"/>
                <w:sz w:val="24"/>
                <w:szCs w:val="24"/>
              </w:rPr>
              <w:t xml:space="preserve"> ju</w:t>
            </w:r>
            <w:r w:rsidR="00F1792D">
              <w:rPr>
                <w:rFonts w:cs="Arial"/>
                <w:sz w:val="24"/>
                <w:szCs w:val="24"/>
              </w:rPr>
              <w:t>li</w:t>
            </w:r>
            <w:r w:rsidR="00CA610C">
              <w:rPr>
                <w:rFonts w:cs="Arial"/>
                <w:sz w:val="24"/>
                <w:szCs w:val="24"/>
              </w:rPr>
              <w:t>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476A8247">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476A8247">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476A8247">
        <w:trPr>
          <w:trHeight w:val="970"/>
        </w:trPr>
        <w:tc>
          <w:tcPr>
            <w:tcW w:w="8977" w:type="dxa"/>
          </w:tcPr>
          <w:p w14:paraId="04DA699E" w14:textId="7EEC3EBA" w:rsidR="003D7DC6" w:rsidRPr="001234DE" w:rsidRDefault="00163713" w:rsidP="001D02CA">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r w:rsidR="00F1792D">
              <w:rPr>
                <w:rFonts w:cs="Arial"/>
                <w:sz w:val="24"/>
                <w:szCs w:val="24"/>
              </w:rPr>
              <w:t>.</w:t>
            </w: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3598" w14:textId="77777777" w:rsidR="00ED17E0" w:rsidRDefault="00ED17E0" w:rsidP="00143CFA">
      <w:r>
        <w:separator/>
      </w:r>
    </w:p>
  </w:endnote>
  <w:endnote w:type="continuationSeparator" w:id="0">
    <w:p w14:paraId="21F63BAD" w14:textId="77777777" w:rsidR="00ED17E0" w:rsidRDefault="00ED17E0"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855F" w14:textId="77777777" w:rsidR="00ED17E0" w:rsidRDefault="00ED17E0" w:rsidP="00143CFA">
      <w:r>
        <w:separator/>
      </w:r>
    </w:p>
  </w:footnote>
  <w:footnote w:type="continuationSeparator" w:id="0">
    <w:p w14:paraId="6A814A70" w14:textId="77777777" w:rsidR="00ED17E0" w:rsidRDefault="00ED17E0"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32417251">
          <wp:extent cx="1514475" cy="856615"/>
          <wp:effectExtent l="0" t="0" r="9525"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42427"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D1491B"/>
    <w:multiLevelType w:val="hybridMultilevel"/>
    <w:tmpl w:val="915E455A"/>
    <w:lvl w:ilvl="0" w:tplc="0C0EEDA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D283EA7"/>
    <w:multiLevelType w:val="hybridMultilevel"/>
    <w:tmpl w:val="E056F81A"/>
    <w:lvl w:ilvl="0" w:tplc="DCB83704">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6"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9"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6F2FE8"/>
    <w:multiLevelType w:val="hybridMultilevel"/>
    <w:tmpl w:val="C442C7DE"/>
    <w:lvl w:ilvl="0" w:tplc="D3E8F1BE">
      <w:start w:val="1"/>
      <w:numFmt w:val="bullet"/>
      <w:lvlText w:val="-"/>
      <w:lvlJc w:val="left"/>
      <w:pPr>
        <w:ind w:left="524" w:hanging="360"/>
      </w:pPr>
      <w:rPr>
        <w:rFonts w:ascii="Arial" w:eastAsia="Times New Roman" w:hAnsi="Arial" w:cs="Arial" w:hint="default"/>
      </w:rPr>
    </w:lvl>
    <w:lvl w:ilvl="1" w:tplc="0C0A0003" w:tentative="1">
      <w:start w:val="1"/>
      <w:numFmt w:val="bullet"/>
      <w:lvlText w:val="o"/>
      <w:lvlJc w:val="left"/>
      <w:pPr>
        <w:ind w:left="1244" w:hanging="360"/>
      </w:pPr>
      <w:rPr>
        <w:rFonts w:ascii="Courier New" w:hAnsi="Courier New" w:cs="Courier New" w:hint="default"/>
      </w:rPr>
    </w:lvl>
    <w:lvl w:ilvl="2" w:tplc="0C0A0005" w:tentative="1">
      <w:start w:val="1"/>
      <w:numFmt w:val="bullet"/>
      <w:lvlText w:val=""/>
      <w:lvlJc w:val="left"/>
      <w:pPr>
        <w:ind w:left="1964" w:hanging="360"/>
      </w:pPr>
      <w:rPr>
        <w:rFonts w:ascii="Wingdings" w:hAnsi="Wingdings" w:hint="default"/>
      </w:rPr>
    </w:lvl>
    <w:lvl w:ilvl="3" w:tplc="0C0A0001" w:tentative="1">
      <w:start w:val="1"/>
      <w:numFmt w:val="bullet"/>
      <w:lvlText w:val=""/>
      <w:lvlJc w:val="left"/>
      <w:pPr>
        <w:ind w:left="2684" w:hanging="360"/>
      </w:pPr>
      <w:rPr>
        <w:rFonts w:ascii="Symbol" w:hAnsi="Symbol" w:hint="default"/>
      </w:rPr>
    </w:lvl>
    <w:lvl w:ilvl="4" w:tplc="0C0A0003" w:tentative="1">
      <w:start w:val="1"/>
      <w:numFmt w:val="bullet"/>
      <w:lvlText w:val="o"/>
      <w:lvlJc w:val="left"/>
      <w:pPr>
        <w:ind w:left="3404" w:hanging="360"/>
      </w:pPr>
      <w:rPr>
        <w:rFonts w:ascii="Courier New" w:hAnsi="Courier New" w:cs="Courier New" w:hint="default"/>
      </w:rPr>
    </w:lvl>
    <w:lvl w:ilvl="5" w:tplc="0C0A0005" w:tentative="1">
      <w:start w:val="1"/>
      <w:numFmt w:val="bullet"/>
      <w:lvlText w:val=""/>
      <w:lvlJc w:val="left"/>
      <w:pPr>
        <w:ind w:left="4124" w:hanging="360"/>
      </w:pPr>
      <w:rPr>
        <w:rFonts w:ascii="Wingdings" w:hAnsi="Wingdings" w:hint="default"/>
      </w:rPr>
    </w:lvl>
    <w:lvl w:ilvl="6" w:tplc="0C0A0001" w:tentative="1">
      <w:start w:val="1"/>
      <w:numFmt w:val="bullet"/>
      <w:lvlText w:val=""/>
      <w:lvlJc w:val="left"/>
      <w:pPr>
        <w:ind w:left="4844" w:hanging="360"/>
      </w:pPr>
      <w:rPr>
        <w:rFonts w:ascii="Symbol" w:hAnsi="Symbol" w:hint="default"/>
      </w:rPr>
    </w:lvl>
    <w:lvl w:ilvl="7" w:tplc="0C0A0003" w:tentative="1">
      <w:start w:val="1"/>
      <w:numFmt w:val="bullet"/>
      <w:lvlText w:val="o"/>
      <w:lvlJc w:val="left"/>
      <w:pPr>
        <w:ind w:left="5564" w:hanging="360"/>
      </w:pPr>
      <w:rPr>
        <w:rFonts w:ascii="Courier New" w:hAnsi="Courier New" w:cs="Courier New" w:hint="default"/>
      </w:rPr>
    </w:lvl>
    <w:lvl w:ilvl="8" w:tplc="0C0A0005" w:tentative="1">
      <w:start w:val="1"/>
      <w:numFmt w:val="bullet"/>
      <w:lvlText w:val=""/>
      <w:lvlJc w:val="left"/>
      <w:pPr>
        <w:ind w:left="6284" w:hanging="360"/>
      </w:pPr>
      <w:rPr>
        <w:rFonts w:ascii="Wingdings" w:hAnsi="Wingdings" w:hint="default"/>
      </w:rPr>
    </w:lvl>
  </w:abstractNum>
  <w:abstractNum w:abstractNumId="12" w15:restartNumberingAfterBreak="0">
    <w:nsid w:val="467E022E"/>
    <w:multiLevelType w:val="hybridMultilevel"/>
    <w:tmpl w:val="29A650D8"/>
    <w:lvl w:ilvl="0" w:tplc="4670C592">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13"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4" w15:restartNumberingAfterBreak="0">
    <w:nsid w:val="4BD162E1"/>
    <w:multiLevelType w:val="hybridMultilevel"/>
    <w:tmpl w:val="4E0A42EA"/>
    <w:lvl w:ilvl="0" w:tplc="C7B864A4">
      <w:start w:val="1"/>
      <w:numFmt w:val="decimal"/>
      <w:lvlText w:val="%1."/>
      <w:lvlJc w:val="left"/>
      <w:pPr>
        <w:ind w:left="584" w:hanging="360"/>
      </w:pPr>
      <w:rPr>
        <w:rFonts w:hint="default"/>
      </w:rPr>
    </w:lvl>
    <w:lvl w:ilvl="1" w:tplc="0C0A0019" w:tentative="1">
      <w:start w:val="1"/>
      <w:numFmt w:val="lowerLetter"/>
      <w:lvlText w:val="%2."/>
      <w:lvlJc w:val="left"/>
      <w:pPr>
        <w:ind w:left="1304" w:hanging="360"/>
      </w:pPr>
    </w:lvl>
    <w:lvl w:ilvl="2" w:tplc="0C0A001B" w:tentative="1">
      <w:start w:val="1"/>
      <w:numFmt w:val="lowerRoman"/>
      <w:lvlText w:val="%3."/>
      <w:lvlJc w:val="right"/>
      <w:pPr>
        <w:ind w:left="2024" w:hanging="180"/>
      </w:pPr>
    </w:lvl>
    <w:lvl w:ilvl="3" w:tplc="0C0A000F" w:tentative="1">
      <w:start w:val="1"/>
      <w:numFmt w:val="decimal"/>
      <w:lvlText w:val="%4."/>
      <w:lvlJc w:val="left"/>
      <w:pPr>
        <w:ind w:left="2744" w:hanging="360"/>
      </w:pPr>
    </w:lvl>
    <w:lvl w:ilvl="4" w:tplc="0C0A0019" w:tentative="1">
      <w:start w:val="1"/>
      <w:numFmt w:val="lowerLetter"/>
      <w:lvlText w:val="%5."/>
      <w:lvlJc w:val="left"/>
      <w:pPr>
        <w:ind w:left="3464" w:hanging="360"/>
      </w:pPr>
    </w:lvl>
    <w:lvl w:ilvl="5" w:tplc="0C0A001B" w:tentative="1">
      <w:start w:val="1"/>
      <w:numFmt w:val="lowerRoman"/>
      <w:lvlText w:val="%6."/>
      <w:lvlJc w:val="right"/>
      <w:pPr>
        <w:ind w:left="4184" w:hanging="180"/>
      </w:pPr>
    </w:lvl>
    <w:lvl w:ilvl="6" w:tplc="0C0A000F" w:tentative="1">
      <w:start w:val="1"/>
      <w:numFmt w:val="decimal"/>
      <w:lvlText w:val="%7."/>
      <w:lvlJc w:val="left"/>
      <w:pPr>
        <w:ind w:left="4904" w:hanging="360"/>
      </w:pPr>
    </w:lvl>
    <w:lvl w:ilvl="7" w:tplc="0C0A0019" w:tentative="1">
      <w:start w:val="1"/>
      <w:numFmt w:val="lowerLetter"/>
      <w:lvlText w:val="%8."/>
      <w:lvlJc w:val="left"/>
      <w:pPr>
        <w:ind w:left="5624" w:hanging="360"/>
      </w:pPr>
    </w:lvl>
    <w:lvl w:ilvl="8" w:tplc="0C0A001B" w:tentative="1">
      <w:start w:val="1"/>
      <w:numFmt w:val="lowerRoman"/>
      <w:lvlText w:val="%9."/>
      <w:lvlJc w:val="right"/>
      <w:pPr>
        <w:ind w:left="6344" w:hanging="180"/>
      </w:pPr>
    </w:lvl>
  </w:abstractNum>
  <w:abstractNum w:abstractNumId="15"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9"/>
  </w:num>
  <w:num w:numId="2" w16cid:durableId="1161315707">
    <w:abstractNumId w:val="7"/>
  </w:num>
  <w:num w:numId="3" w16cid:durableId="1079786781">
    <w:abstractNumId w:val="16"/>
  </w:num>
  <w:num w:numId="4" w16cid:durableId="1737513492">
    <w:abstractNumId w:val="1"/>
  </w:num>
  <w:num w:numId="5" w16cid:durableId="1307472083">
    <w:abstractNumId w:val="18"/>
  </w:num>
  <w:num w:numId="6" w16cid:durableId="1789423090">
    <w:abstractNumId w:val="8"/>
  </w:num>
  <w:num w:numId="7" w16cid:durableId="630214083">
    <w:abstractNumId w:val="0"/>
  </w:num>
  <w:num w:numId="8" w16cid:durableId="517812840">
    <w:abstractNumId w:val="6"/>
  </w:num>
  <w:num w:numId="9" w16cid:durableId="209727148">
    <w:abstractNumId w:val="13"/>
  </w:num>
  <w:num w:numId="10" w16cid:durableId="1246190414">
    <w:abstractNumId w:val="2"/>
  </w:num>
  <w:num w:numId="11" w16cid:durableId="321586350">
    <w:abstractNumId w:val="15"/>
  </w:num>
  <w:num w:numId="12" w16cid:durableId="115415875">
    <w:abstractNumId w:val="10"/>
  </w:num>
  <w:num w:numId="13" w16cid:durableId="2055809415">
    <w:abstractNumId w:val="19"/>
  </w:num>
  <w:num w:numId="14" w16cid:durableId="1407607863">
    <w:abstractNumId w:val="4"/>
  </w:num>
  <w:num w:numId="15" w16cid:durableId="1695424862">
    <w:abstractNumId w:val="17"/>
  </w:num>
  <w:num w:numId="16" w16cid:durableId="1890266921">
    <w:abstractNumId w:val="3"/>
  </w:num>
  <w:num w:numId="17" w16cid:durableId="293292953">
    <w:abstractNumId w:val="14"/>
  </w:num>
  <w:num w:numId="18" w16cid:durableId="1170171546">
    <w:abstractNumId w:val="5"/>
  </w:num>
  <w:num w:numId="19" w16cid:durableId="2084789423">
    <w:abstractNumId w:val="11"/>
  </w:num>
  <w:num w:numId="20" w16cid:durableId="2005012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2EAF"/>
    <w:rsid w:val="00005103"/>
    <w:rsid w:val="00015310"/>
    <w:rsid w:val="00021DC4"/>
    <w:rsid w:val="00041520"/>
    <w:rsid w:val="00043A65"/>
    <w:rsid w:val="00071DE6"/>
    <w:rsid w:val="00075202"/>
    <w:rsid w:val="0008483B"/>
    <w:rsid w:val="00086658"/>
    <w:rsid w:val="00086DEF"/>
    <w:rsid w:val="00087E44"/>
    <w:rsid w:val="0009232C"/>
    <w:rsid w:val="000A5573"/>
    <w:rsid w:val="000A688D"/>
    <w:rsid w:val="000B6E31"/>
    <w:rsid w:val="000C0477"/>
    <w:rsid w:val="000D6A3A"/>
    <w:rsid w:val="000E4666"/>
    <w:rsid w:val="000F4094"/>
    <w:rsid w:val="000F626D"/>
    <w:rsid w:val="001004FD"/>
    <w:rsid w:val="001234DE"/>
    <w:rsid w:val="00124E37"/>
    <w:rsid w:val="00126DC0"/>
    <w:rsid w:val="00140271"/>
    <w:rsid w:val="0014261F"/>
    <w:rsid w:val="00143CFA"/>
    <w:rsid w:val="00154CEB"/>
    <w:rsid w:val="0016136C"/>
    <w:rsid w:val="00163713"/>
    <w:rsid w:val="00170BC2"/>
    <w:rsid w:val="001745EE"/>
    <w:rsid w:val="00175999"/>
    <w:rsid w:val="001952CF"/>
    <w:rsid w:val="001A3EA1"/>
    <w:rsid w:val="001A4A52"/>
    <w:rsid w:val="001B1576"/>
    <w:rsid w:val="001B5F6A"/>
    <w:rsid w:val="001C23AE"/>
    <w:rsid w:val="001C75A1"/>
    <w:rsid w:val="001C7FA8"/>
    <w:rsid w:val="001D02CA"/>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7A77"/>
    <w:rsid w:val="002E13C1"/>
    <w:rsid w:val="002E6D27"/>
    <w:rsid w:val="002E73B9"/>
    <w:rsid w:val="002E7F19"/>
    <w:rsid w:val="002F162D"/>
    <w:rsid w:val="002F1B64"/>
    <w:rsid w:val="002F1F47"/>
    <w:rsid w:val="002F5EFD"/>
    <w:rsid w:val="002F783D"/>
    <w:rsid w:val="0031161F"/>
    <w:rsid w:val="00317181"/>
    <w:rsid w:val="00327E68"/>
    <w:rsid w:val="00330BA3"/>
    <w:rsid w:val="00333246"/>
    <w:rsid w:val="00333EF6"/>
    <w:rsid w:val="0033481C"/>
    <w:rsid w:val="00335DCF"/>
    <w:rsid w:val="003367CE"/>
    <w:rsid w:val="00336FB2"/>
    <w:rsid w:val="00337786"/>
    <w:rsid w:val="003415E1"/>
    <w:rsid w:val="00341D29"/>
    <w:rsid w:val="00345D38"/>
    <w:rsid w:val="00353B58"/>
    <w:rsid w:val="0035436C"/>
    <w:rsid w:val="00356B3B"/>
    <w:rsid w:val="00357ED7"/>
    <w:rsid w:val="0036158E"/>
    <w:rsid w:val="0036574C"/>
    <w:rsid w:val="00370FE9"/>
    <w:rsid w:val="00374288"/>
    <w:rsid w:val="003A07B5"/>
    <w:rsid w:val="003A568B"/>
    <w:rsid w:val="003A6810"/>
    <w:rsid w:val="003C4DD9"/>
    <w:rsid w:val="003D0D7A"/>
    <w:rsid w:val="003D7DC6"/>
    <w:rsid w:val="003E270A"/>
    <w:rsid w:val="003E4BDA"/>
    <w:rsid w:val="003E5126"/>
    <w:rsid w:val="003F422C"/>
    <w:rsid w:val="004024EB"/>
    <w:rsid w:val="00407042"/>
    <w:rsid w:val="00414CCC"/>
    <w:rsid w:val="0041590E"/>
    <w:rsid w:val="0041647A"/>
    <w:rsid w:val="00421694"/>
    <w:rsid w:val="00435B04"/>
    <w:rsid w:val="00436ACD"/>
    <w:rsid w:val="00441CA7"/>
    <w:rsid w:val="004506C3"/>
    <w:rsid w:val="0045082C"/>
    <w:rsid w:val="004511F8"/>
    <w:rsid w:val="00472E44"/>
    <w:rsid w:val="00472F2F"/>
    <w:rsid w:val="0047665A"/>
    <w:rsid w:val="0048109E"/>
    <w:rsid w:val="0048416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60FD"/>
    <w:rsid w:val="0051785D"/>
    <w:rsid w:val="005203A3"/>
    <w:rsid w:val="005359D2"/>
    <w:rsid w:val="0054348B"/>
    <w:rsid w:val="005460B1"/>
    <w:rsid w:val="00557544"/>
    <w:rsid w:val="00557E6F"/>
    <w:rsid w:val="00560FDF"/>
    <w:rsid w:val="00567D0D"/>
    <w:rsid w:val="00572C47"/>
    <w:rsid w:val="0057658E"/>
    <w:rsid w:val="00576C5D"/>
    <w:rsid w:val="005830B0"/>
    <w:rsid w:val="005848E1"/>
    <w:rsid w:val="005902B8"/>
    <w:rsid w:val="005B341E"/>
    <w:rsid w:val="005B4545"/>
    <w:rsid w:val="005D565A"/>
    <w:rsid w:val="005D67E1"/>
    <w:rsid w:val="005F1A82"/>
    <w:rsid w:val="005F255D"/>
    <w:rsid w:val="005F2F6A"/>
    <w:rsid w:val="00606EC1"/>
    <w:rsid w:val="00615C52"/>
    <w:rsid w:val="00625598"/>
    <w:rsid w:val="006266D0"/>
    <w:rsid w:val="00630129"/>
    <w:rsid w:val="0063062B"/>
    <w:rsid w:val="00632DFB"/>
    <w:rsid w:val="00636640"/>
    <w:rsid w:val="00647B83"/>
    <w:rsid w:val="00654C59"/>
    <w:rsid w:val="00661AD8"/>
    <w:rsid w:val="00665481"/>
    <w:rsid w:val="00685F8D"/>
    <w:rsid w:val="00691602"/>
    <w:rsid w:val="00691EF3"/>
    <w:rsid w:val="00692C91"/>
    <w:rsid w:val="006A18B7"/>
    <w:rsid w:val="006A69AD"/>
    <w:rsid w:val="006B3A17"/>
    <w:rsid w:val="006B590A"/>
    <w:rsid w:val="006B5A67"/>
    <w:rsid w:val="006D1FD5"/>
    <w:rsid w:val="006D6A3A"/>
    <w:rsid w:val="006D7008"/>
    <w:rsid w:val="006F26C0"/>
    <w:rsid w:val="006F303A"/>
    <w:rsid w:val="006F3615"/>
    <w:rsid w:val="00702EBF"/>
    <w:rsid w:val="007048A7"/>
    <w:rsid w:val="00707518"/>
    <w:rsid w:val="00720BB1"/>
    <w:rsid w:val="00721051"/>
    <w:rsid w:val="00725341"/>
    <w:rsid w:val="00730061"/>
    <w:rsid w:val="0073714D"/>
    <w:rsid w:val="00756586"/>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7E02FA"/>
    <w:rsid w:val="007F7E80"/>
    <w:rsid w:val="00806194"/>
    <w:rsid w:val="0080796C"/>
    <w:rsid w:val="00812BF0"/>
    <w:rsid w:val="00820668"/>
    <w:rsid w:val="008240B3"/>
    <w:rsid w:val="008271C7"/>
    <w:rsid w:val="00827530"/>
    <w:rsid w:val="008278FE"/>
    <w:rsid w:val="00836BC0"/>
    <w:rsid w:val="008470B4"/>
    <w:rsid w:val="00847DB3"/>
    <w:rsid w:val="00850451"/>
    <w:rsid w:val="00850C37"/>
    <w:rsid w:val="008516AF"/>
    <w:rsid w:val="008544B5"/>
    <w:rsid w:val="00864115"/>
    <w:rsid w:val="0086453F"/>
    <w:rsid w:val="00885A9A"/>
    <w:rsid w:val="0088703B"/>
    <w:rsid w:val="008878BB"/>
    <w:rsid w:val="00890AFC"/>
    <w:rsid w:val="00893213"/>
    <w:rsid w:val="008B3C6C"/>
    <w:rsid w:val="008B4EE1"/>
    <w:rsid w:val="008C3042"/>
    <w:rsid w:val="008C48F5"/>
    <w:rsid w:val="008D600D"/>
    <w:rsid w:val="008E1990"/>
    <w:rsid w:val="008E1BA1"/>
    <w:rsid w:val="008E287B"/>
    <w:rsid w:val="008E782A"/>
    <w:rsid w:val="008F0293"/>
    <w:rsid w:val="008F28CD"/>
    <w:rsid w:val="008F4EA4"/>
    <w:rsid w:val="00901EB3"/>
    <w:rsid w:val="00902302"/>
    <w:rsid w:val="009034B5"/>
    <w:rsid w:val="00920C44"/>
    <w:rsid w:val="009453CC"/>
    <w:rsid w:val="00947F08"/>
    <w:rsid w:val="00950ADC"/>
    <w:rsid w:val="009529CF"/>
    <w:rsid w:val="0095354B"/>
    <w:rsid w:val="00964A69"/>
    <w:rsid w:val="00967AC8"/>
    <w:rsid w:val="009717A2"/>
    <w:rsid w:val="0097294C"/>
    <w:rsid w:val="00974BC6"/>
    <w:rsid w:val="009750D0"/>
    <w:rsid w:val="009863D0"/>
    <w:rsid w:val="00987547"/>
    <w:rsid w:val="0099139D"/>
    <w:rsid w:val="0099180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A029A8"/>
    <w:rsid w:val="00A13EA8"/>
    <w:rsid w:val="00A13F94"/>
    <w:rsid w:val="00A204E1"/>
    <w:rsid w:val="00A25F07"/>
    <w:rsid w:val="00A26C94"/>
    <w:rsid w:val="00A31A6D"/>
    <w:rsid w:val="00A3766F"/>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8468C"/>
    <w:rsid w:val="00A913AD"/>
    <w:rsid w:val="00A91563"/>
    <w:rsid w:val="00A931B5"/>
    <w:rsid w:val="00A965D8"/>
    <w:rsid w:val="00A971D7"/>
    <w:rsid w:val="00A97DF9"/>
    <w:rsid w:val="00AA625F"/>
    <w:rsid w:val="00AA6BD0"/>
    <w:rsid w:val="00AB0A1D"/>
    <w:rsid w:val="00AB253B"/>
    <w:rsid w:val="00AB6C82"/>
    <w:rsid w:val="00AD039D"/>
    <w:rsid w:val="00AD4E6C"/>
    <w:rsid w:val="00AE0176"/>
    <w:rsid w:val="00AE359D"/>
    <w:rsid w:val="00B2436C"/>
    <w:rsid w:val="00B31CD9"/>
    <w:rsid w:val="00B32843"/>
    <w:rsid w:val="00B34443"/>
    <w:rsid w:val="00B44160"/>
    <w:rsid w:val="00B50175"/>
    <w:rsid w:val="00B5103A"/>
    <w:rsid w:val="00B62AAE"/>
    <w:rsid w:val="00B6674F"/>
    <w:rsid w:val="00B67328"/>
    <w:rsid w:val="00B678A8"/>
    <w:rsid w:val="00B7510A"/>
    <w:rsid w:val="00B80AD2"/>
    <w:rsid w:val="00B85059"/>
    <w:rsid w:val="00B85EC8"/>
    <w:rsid w:val="00B9196D"/>
    <w:rsid w:val="00B924F7"/>
    <w:rsid w:val="00BA13C5"/>
    <w:rsid w:val="00BA18B5"/>
    <w:rsid w:val="00BA532C"/>
    <w:rsid w:val="00BD1E8C"/>
    <w:rsid w:val="00BE1876"/>
    <w:rsid w:val="00BE1DF6"/>
    <w:rsid w:val="00BE2D29"/>
    <w:rsid w:val="00BE542F"/>
    <w:rsid w:val="00BF48D5"/>
    <w:rsid w:val="00C019B3"/>
    <w:rsid w:val="00C04145"/>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A610C"/>
    <w:rsid w:val="00CB0FB6"/>
    <w:rsid w:val="00CC30A9"/>
    <w:rsid w:val="00CC47C4"/>
    <w:rsid w:val="00CC64DD"/>
    <w:rsid w:val="00CD06A4"/>
    <w:rsid w:val="00CD3B55"/>
    <w:rsid w:val="00CD6E86"/>
    <w:rsid w:val="00CE0DFD"/>
    <w:rsid w:val="00CF3529"/>
    <w:rsid w:val="00CF462B"/>
    <w:rsid w:val="00D146D0"/>
    <w:rsid w:val="00D155AF"/>
    <w:rsid w:val="00D16C83"/>
    <w:rsid w:val="00D23E4F"/>
    <w:rsid w:val="00D41EE3"/>
    <w:rsid w:val="00D460FA"/>
    <w:rsid w:val="00D52073"/>
    <w:rsid w:val="00D56182"/>
    <w:rsid w:val="00D7033A"/>
    <w:rsid w:val="00D70D64"/>
    <w:rsid w:val="00D7791B"/>
    <w:rsid w:val="00D8123E"/>
    <w:rsid w:val="00D8316D"/>
    <w:rsid w:val="00D84B5A"/>
    <w:rsid w:val="00D97AB0"/>
    <w:rsid w:val="00DA5DC6"/>
    <w:rsid w:val="00DA5E4A"/>
    <w:rsid w:val="00DA655C"/>
    <w:rsid w:val="00DA7E82"/>
    <w:rsid w:val="00DB3E1E"/>
    <w:rsid w:val="00DC41F0"/>
    <w:rsid w:val="00DC453B"/>
    <w:rsid w:val="00DD2066"/>
    <w:rsid w:val="00DD3C0C"/>
    <w:rsid w:val="00DD510A"/>
    <w:rsid w:val="00DE374B"/>
    <w:rsid w:val="00E02E43"/>
    <w:rsid w:val="00E2140E"/>
    <w:rsid w:val="00E23B49"/>
    <w:rsid w:val="00E264C1"/>
    <w:rsid w:val="00E32C35"/>
    <w:rsid w:val="00E5002C"/>
    <w:rsid w:val="00E5024A"/>
    <w:rsid w:val="00E54F6B"/>
    <w:rsid w:val="00E564EE"/>
    <w:rsid w:val="00E573DA"/>
    <w:rsid w:val="00E65736"/>
    <w:rsid w:val="00E873EB"/>
    <w:rsid w:val="00E90B83"/>
    <w:rsid w:val="00E92FC8"/>
    <w:rsid w:val="00E952F1"/>
    <w:rsid w:val="00E97E52"/>
    <w:rsid w:val="00EA3BD2"/>
    <w:rsid w:val="00EC5DBC"/>
    <w:rsid w:val="00EC72CE"/>
    <w:rsid w:val="00ED17E0"/>
    <w:rsid w:val="00ED1835"/>
    <w:rsid w:val="00ED704A"/>
    <w:rsid w:val="00ED71E6"/>
    <w:rsid w:val="00EE16A7"/>
    <w:rsid w:val="00EE3EC4"/>
    <w:rsid w:val="00EE40EE"/>
    <w:rsid w:val="00EF151E"/>
    <w:rsid w:val="00EF3301"/>
    <w:rsid w:val="00F002F4"/>
    <w:rsid w:val="00F1205B"/>
    <w:rsid w:val="00F1792D"/>
    <w:rsid w:val="00F21030"/>
    <w:rsid w:val="00F23D07"/>
    <w:rsid w:val="00F252C2"/>
    <w:rsid w:val="00F37BD6"/>
    <w:rsid w:val="00F410E1"/>
    <w:rsid w:val="00F45DB9"/>
    <w:rsid w:val="00F46B7E"/>
    <w:rsid w:val="00F634EB"/>
    <w:rsid w:val="00F66150"/>
    <w:rsid w:val="00F66FA7"/>
    <w:rsid w:val="00F6792B"/>
    <w:rsid w:val="00F77084"/>
    <w:rsid w:val="00F87046"/>
    <w:rsid w:val="00F9027A"/>
    <w:rsid w:val="00F914D5"/>
    <w:rsid w:val="00FA07EA"/>
    <w:rsid w:val="00FA5D4A"/>
    <w:rsid w:val="00FA5FBB"/>
    <w:rsid w:val="00FB4900"/>
    <w:rsid w:val="00FD07A6"/>
    <w:rsid w:val="00FD1F60"/>
    <w:rsid w:val="00FD3346"/>
    <w:rsid w:val="00FD3B2A"/>
    <w:rsid w:val="00FE10B6"/>
    <w:rsid w:val="00FE1218"/>
    <w:rsid w:val="00FE459D"/>
    <w:rsid w:val="00FF066D"/>
    <w:rsid w:val="00FF1E8D"/>
    <w:rsid w:val="0AED8067"/>
    <w:rsid w:val="19C17842"/>
    <w:rsid w:val="1F298250"/>
    <w:rsid w:val="2090A606"/>
    <w:rsid w:val="35ED068C"/>
    <w:rsid w:val="4306B5F7"/>
    <w:rsid w:val="436CD75D"/>
    <w:rsid w:val="44A6FB89"/>
    <w:rsid w:val="476A8247"/>
    <w:rsid w:val="4D44954F"/>
    <w:rsid w:val="528F7D24"/>
    <w:rsid w:val="5A7D2B24"/>
    <w:rsid w:val="65C49A8A"/>
    <w:rsid w:val="69A27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157158941">
      <w:bodyDiv w:val="1"/>
      <w:marLeft w:val="0"/>
      <w:marRight w:val="0"/>
      <w:marTop w:val="0"/>
      <w:marBottom w:val="0"/>
      <w:divBdr>
        <w:top w:val="none" w:sz="0" w:space="0" w:color="auto"/>
        <w:left w:val="none" w:sz="0" w:space="0" w:color="auto"/>
        <w:bottom w:val="none" w:sz="0" w:space="0" w:color="auto"/>
        <w:right w:val="none" w:sz="0" w:space="0" w:color="auto"/>
      </w:divBdr>
    </w:div>
    <w:div w:id="259266266">
      <w:bodyDiv w:val="1"/>
      <w:marLeft w:val="0"/>
      <w:marRight w:val="0"/>
      <w:marTop w:val="0"/>
      <w:marBottom w:val="0"/>
      <w:divBdr>
        <w:top w:val="none" w:sz="0" w:space="0" w:color="auto"/>
        <w:left w:val="none" w:sz="0" w:space="0" w:color="auto"/>
        <w:bottom w:val="none" w:sz="0" w:space="0" w:color="auto"/>
        <w:right w:val="none" w:sz="0" w:space="0" w:color="auto"/>
      </w:divBdr>
    </w:div>
    <w:div w:id="276911408">
      <w:bodyDiv w:val="1"/>
      <w:marLeft w:val="0"/>
      <w:marRight w:val="0"/>
      <w:marTop w:val="0"/>
      <w:marBottom w:val="0"/>
      <w:divBdr>
        <w:top w:val="none" w:sz="0" w:space="0" w:color="auto"/>
        <w:left w:val="none" w:sz="0" w:space="0" w:color="auto"/>
        <w:bottom w:val="none" w:sz="0" w:space="0" w:color="auto"/>
        <w:right w:val="none" w:sz="0" w:space="0" w:color="auto"/>
      </w:divBdr>
    </w:div>
    <w:div w:id="292173998">
      <w:bodyDiv w:val="1"/>
      <w:marLeft w:val="0"/>
      <w:marRight w:val="0"/>
      <w:marTop w:val="0"/>
      <w:marBottom w:val="0"/>
      <w:divBdr>
        <w:top w:val="none" w:sz="0" w:space="0" w:color="auto"/>
        <w:left w:val="none" w:sz="0" w:space="0" w:color="auto"/>
        <w:bottom w:val="none" w:sz="0" w:space="0" w:color="auto"/>
        <w:right w:val="none" w:sz="0" w:space="0" w:color="auto"/>
      </w:divBdr>
    </w:div>
    <w:div w:id="334039532">
      <w:bodyDiv w:val="1"/>
      <w:marLeft w:val="0"/>
      <w:marRight w:val="0"/>
      <w:marTop w:val="0"/>
      <w:marBottom w:val="0"/>
      <w:divBdr>
        <w:top w:val="none" w:sz="0" w:space="0" w:color="auto"/>
        <w:left w:val="none" w:sz="0" w:space="0" w:color="auto"/>
        <w:bottom w:val="none" w:sz="0" w:space="0" w:color="auto"/>
        <w:right w:val="none" w:sz="0" w:space="0" w:color="auto"/>
      </w:divBdr>
    </w:div>
    <w:div w:id="407776399">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60071796">
      <w:bodyDiv w:val="1"/>
      <w:marLeft w:val="0"/>
      <w:marRight w:val="0"/>
      <w:marTop w:val="0"/>
      <w:marBottom w:val="0"/>
      <w:divBdr>
        <w:top w:val="none" w:sz="0" w:space="0" w:color="auto"/>
        <w:left w:val="none" w:sz="0" w:space="0" w:color="auto"/>
        <w:bottom w:val="none" w:sz="0" w:space="0" w:color="auto"/>
        <w:right w:val="none" w:sz="0" w:space="0" w:color="auto"/>
      </w:divBdr>
    </w:div>
    <w:div w:id="47726091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527529656">
      <w:bodyDiv w:val="1"/>
      <w:marLeft w:val="0"/>
      <w:marRight w:val="0"/>
      <w:marTop w:val="0"/>
      <w:marBottom w:val="0"/>
      <w:divBdr>
        <w:top w:val="none" w:sz="0" w:space="0" w:color="auto"/>
        <w:left w:val="none" w:sz="0" w:space="0" w:color="auto"/>
        <w:bottom w:val="none" w:sz="0" w:space="0" w:color="auto"/>
        <w:right w:val="none" w:sz="0" w:space="0" w:color="auto"/>
      </w:divBdr>
    </w:div>
    <w:div w:id="603422484">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24371158">
      <w:bodyDiv w:val="1"/>
      <w:marLeft w:val="0"/>
      <w:marRight w:val="0"/>
      <w:marTop w:val="0"/>
      <w:marBottom w:val="0"/>
      <w:divBdr>
        <w:top w:val="none" w:sz="0" w:space="0" w:color="auto"/>
        <w:left w:val="none" w:sz="0" w:space="0" w:color="auto"/>
        <w:bottom w:val="none" w:sz="0" w:space="0" w:color="auto"/>
        <w:right w:val="none" w:sz="0" w:space="0" w:color="auto"/>
      </w:divBdr>
    </w:div>
    <w:div w:id="761222669">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816923392">
      <w:bodyDiv w:val="1"/>
      <w:marLeft w:val="0"/>
      <w:marRight w:val="0"/>
      <w:marTop w:val="0"/>
      <w:marBottom w:val="0"/>
      <w:divBdr>
        <w:top w:val="none" w:sz="0" w:space="0" w:color="auto"/>
        <w:left w:val="none" w:sz="0" w:space="0" w:color="auto"/>
        <w:bottom w:val="none" w:sz="0" w:space="0" w:color="auto"/>
        <w:right w:val="none" w:sz="0" w:space="0" w:color="auto"/>
      </w:divBdr>
    </w:div>
    <w:div w:id="863134263">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35959738">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133212648">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228541106">
      <w:bodyDiv w:val="1"/>
      <w:marLeft w:val="0"/>
      <w:marRight w:val="0"/>
      <w:marTop w:val="0"/>
      <w:marBottom w:val="0"/>
      <w:divBdr>
        <w:top w:val="none" w:sz="0" w:space="0" w:color="auto"/>
        <w:left w:val="none" w:sz="0" w:space="0" w:color="auto"/>
        <w:bottom w:val="none" w:sz="0" w:space="0" w:color="auto"/>
        <w:right w:val="none" w:sz="0" w:space="0" w:color="auto"/>
      </w:divBdr>
    </w:div>
    <w:div w:id="1248342352">
      <w:bodyDiv w:val="1"/>
      <w:marLeft w:val="0"/>
      <w:marRight w:val="0"/>
      <w:marTop w:val="0"/>
      <w:marBottom w:val="0"/>
      <w:divBdr>
        <w:top w:val="none" w:sz="0" w:space="0" w:color="auto"/>
        <w:left w:val="none" w:sz="0" w:space="0" w:color="auto"/>
        <w:bottom w:val="none" w:sz="0" w:space="0" w:color="auto"/>
        <w:right w:val="none" w:sz="0" w:space="0" w:color="auto"/>
      </w:divBdr>
    </w:div>
    <w:div w:id="134389678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24884833">
      <w:bodyDiv w:val="1"/>
      <w:marLeft w:val="0"/>
      <w:marRight w:val="0"/>
      <w:marTop w:val="0"/>
      <w:marBottom w:val="0"/>
      <w:divBdr>
        <w:top w:val="none" w:sz="0" w:space="0" w:color="auto"/>
        <w:left w:val="none" w:sz="0" w:space="0" w:color="auto"/>
        <w:bottom w:val="none" w:sz="0" w:space="0" w:color="auto"/>
        <w:right w:val="none" w:sz="0" w:space="0" w:color="auto"/>
      </w:divBdr>
    </w:div>
    <w:div w:id="1448164041">
      <w:bodyDiv w:val="1"/>
      <w:marLeft w:val="0"/>
      <w:marRight w:val="0"/>
      <w:marTop w:val="0"/>
      <w:marBottom w:val="0"/>
      <w:divBdr>
        <w:top w:val="none" w:sz="0" w:space="0" w:color="auto"/>
        <w:left w:val="none" w:sz="0" w:space="0" w:color="auto"/>
        <w:bottom w:val="none" w:sz="0" w:space="0" w:color="auto"/>
        <w:right w:val="none" w:sz="0" w:space="0" w:color="auto"/>
      </w:divBdr>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571965742">
      <w:bodyDiv w:val="1"/>
      <w:marLeft w:val="0"/>
      <w:marRight w:val="0"/>
      <w:marTop w:val="0"/>
      <w:marBottom w:val="0"/>
      <w:divBdr>
        <w:top w:val="none" w:sz="0" w:space="0" w:color="auto"/>
        <w:left w:val="none" w:sz="0" w:space="0" w:color="auto"/>
        <w:bottom w:val="none" w:sz="0" w:space="0" w:color="auto"/>
        <w:right w:val="none" w:sz="0" w:space="0" w:color="auto"/>
      </w:divBdr>
    </w:div>
    <w:div w:id="1589774123">
      <w:bodyDiv w:val="1"/>
      <w:marLeft w:val="0"/>
      <w:marRight w:val="0"/>
      <w:marTop w:val="0"/>
      <w:marBottom w:val="0"/>
      <w:divBdr>
        <w:top w:val="none" w:sz="0" w:space="0" w:color="auto"/>
        <w:left w:val="none" w:sz="0" w:space="0" w:color="auto"/>
        <w:bottom w:val="none" w:sz="0" w:space="0" w:color="auto"/>
        <w:right w:val="none" w:sz="0" w:space="0" w:color="auto"/>
      </w:divBdr>
    </w:div>
    <w:div w:id="1606688037">
      <w:bodyDiv w:val="1"/>
      <w:marLeft w:val="0"/>
      <w:marRight w:val="0"/>
      <w:marTop w:val="0"/>
      <w:marBottom w:val="0"/>
      <w:divBdr>
        <w:top w:val="none" w:sz="0" w:space="0" w:color="auto"/>
        <w:left w:val="none" w:sz="0" w:space="0" w:color="auto"/>
        <w:bottom w:val="none" w:sz="0" w:space="0" w:color="auto"/>
        <w:right w:val="none" w:sz="0" w:space="0" w:color="auto"/>
      </w:divBdr>
    </w:div>
    <w:div w:id="1631204597">
      <w:bodyDiv w:val="1"/>
      <w:marLeft w:val="0"/>
      <w:marRight w:val="0"/>
      <w:marTop w:val="0"/>
      <w:marBottom w:val="0"/>
      <w:divBdr>
        <w:top w:val="none" w:sz="0" w:space="0" w:color="auto"/>
        <w:left w:val="none" w:sz="0" w:space="0" w:color="auto"/>
        <w:bottom w:val="none" w:sz="0" w:space="0" w:color="auto"/>
        <w:right w:val="none" w:sz="0" w:space="0" w:color="auto"/>
      </w:divBdr>
    </w:div>
    <w:div w:id="1652296130">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1949845516">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5424202">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 w:id="21188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2.xml><?xml version="1.0" encoding="utf-8"?>
<ds:datastoreItem xmlns:ds="http://schemas.openxmlformats.org/officeDocument/2006/customXml" ds:itemID="{D58E74D7-412C-454E-BA18-C29CA1F26DCF}"/>
</file>

<file path=customXml/itemProps3.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4.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6748</Characters>
  <Application>Microsoft Office Word</Application>
  <DocSecurity>0</DocSecurity>
  <Lines>56</Lines>
  <Paragraphs>15</Paragraphs>
  <ScaleCrop>false</ScaleCrop>
  <Company>Fondo Nacional de Ahorro</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Jonathan Andres Encizo Hernandez</cp:lastModifiedBy>
  <cp:revision>4</cp:revision>
  <cp:lastPrinted>2024-02-12T21:20:00Z</cp:lastPrinted>
  <dcterms:created xsi:type="dcterms:W3CDTF">2025-07-22T22:14:00Z</dcterms:created>
  <dcterms:modified xsi:type="dcterms:W3CDTF">2025-07-23T13:18:00Z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2025-07-22T22:12:02Z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e06d0c6b-9bc4-406c-9dfb-01b77810e406</vt:lpwstr>
  </property>
  <property fmtid="{D5CDD505-2E9C-101B-9397-08002B2CF9AE}" pid="9" name="MSIP_Label_381de9b9-fa69-44b3-a963-8b12822733d4_ContentBits">
    <vt:lpwstr>0</vt:lpwstr>
  </property>
  <property fmtid="{D5CDD505-2E9C-101B-9397-08002B2CF9AE}" pid="10" name="MSIP_Label_381de9b9-fa69-44b3-a963-8b12822733d4_Tag">
    <vt:lpwstr>10, 0, 1, 2</vt:lpwstr>
  </property>
</Properties>
</file>