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2AF5F74C" w:rsidR="00C94E4C" w:rsidRPr="001234DE" w:rsidRDefault="00A56AE8" w:rsidP="00E264C1">
            <w:pPr>
              <w:jc w:val="both"/>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0264CC">
              <w:rPr>
                <w:rFonts w:cs="Arial"/>
                <w:sz w:val="24"/>
                <w:szCs w:val="24"/>
              </w:rPr>
              <w:t>marzo</w:t>
            </w:r>
            <w:r w:rsidR="00225FCC">
              <w:rPr>
                <w:rFonts w:cs="Arial"/>
                <w:sz w:val="24"/>
                <w:szCs w:val="24"/>
              </w:rPr>
              <w:t xml:space="preserve"> </w:t>
            </w:r>
            <w:r w:rsidR="00F66150">
              <w:rPr>
                <w:rFonts w:cs="Arial"/>
                <w:sz w:val="24"/>
                <w:szCs w:val="24"/>
              </w:rPr>
              <w:t>1</w:t>
            </w:r>
            <w:r w:rsidR="000264CC">
              <w:rPr>
                <w:rFonts w:cs="Arial"/>
                <w:sz w:val="24"/>
                <w:szCs w:val="24"/>
              </w:rPr>
              <w:t>2</w:t>
            </w:r>
            <w:r w:rsidR="00E97E52">
              <w:rPr>
                <w:rFonts w:cs="Arial"/>
                <w:sz w:val="24"/>
                <w:szCs w:val="24"/>
              </w:rPr>
              <w:t xml:space="preserve"> </w:t>
            </w:r>
            <w:r w:rsidR="00987547" w:rsidRPr="001234DE">
              <w:rPr>
                <w:rFonts w:cs="Arial"/>
                <w:sz w:val="24"/>
                <w:szCs w:val="24"/>
              </w:rPr>
              <w:t>de 202</w:t>
            </w:r>
            <w:r w:rsidR="00225FCC">
              <w:rPr>
                <w:rFonts w:cs="Arial"/>
                <w:sz w:val="24"/>
                <w:szCs w:val="24"/>
              </w:rPr>
              <w:t>5</w:t>
            </w:r>
          </w:p>
        </w:tc>
      </w:tr>
      <w:tr w:rsidR="00FF1E8D" w:rsidRPr="001234DE" w14:paraId="2A866DF7" w14:textId="77777777" w:rsidTr="009C2732">
        <w:trPr>
          <w:trHeight w:val="806"/>
        </w:trPr>
        <w:tc>
          <w:tcPr>
            <w:tcW w:w="8977" w:type="dxa"/>
          </w:tcPr>
          <w:p w14:paraId="78C7F81D" w14:textId="23947212"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Acuerdo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0264CC">
              <w:rPr>
                <w:rFonts w:cs="Arial"/>
                <w:sz w:val="24"/>
                <w:szCs w:val="24"/>
                <w:lang w:val="es-ES_tradnl"/>
              </w:rPr>
              <w:t>7</w:t>
            </w:r>
            <w:r w:rsidR="009F39AB" w:rsidRPr="00495886">
              <w:rPr>
                <w:rFonts w:cs="Arial"/>
                <w:sz w:val="24"/>
                <w:szCs w:val="24"/>
                <w:lang w:val="es-ES_tradnl"/>
              </w:rPr>
              <w:t xml:space="preserve">. </w:t>
            </w:r>
          </w:p>
        </w:tc>
      </w:tr>
      <w:tr w:rsidR="00FF1E8D" w:rsidRPr="001234DE" w14:paraId="2EEBFAC1" w14:textId="77777777" w:rsidTr="009C2732">
        <w:trPr>
          <w:trHeight w:val="744"/>
        </w:trPr>
        <w:tc>
          <w:tcPr>
            <w:tcW w:w="8977" w:type="dxa"/>
          </w:tcPr>
          <w:p w14:paraId="5D2D5392" w14:textId="43218AD2" w:rsidR="009C2732" w:rsidRPr="001234DE" w:rsidRDefault="00A56AE8" w:rsidP="005F1A82">
            <w:pPr>
              <w:jc w:val="both"/>
              <w:rPr>
                <w:rFonts w:cs="Arial"/>
                <w:sz w:val="24"/>
                <w:szCs w:val="24"/>
              </w:rPr>
            </w:pPr>
            <w:r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p>
        </w:tc>
      </w:tr>
      <w:tr w:rsidR="00FF1E8D" w:rsidRPr="001234DE" w14:paraId="34008CE6" w14:textId="77777777" w:rsidTr="009C2732">
        <w:trPr>
          <w:trHeight w:val="527"/>
        </w:trPr>
        <w:tc>
          <w:tcPr>
            <w:tcW w:w="8977" w:type="dxa"/>
          </w:tcPr>
          <w:p w14:paraId="08AB7051" w14:textId="0A0F2B49" w:rsidR="004B06FD" w:rsidRPr="001234DE" w:rsidRDefault="00A57862" w:rsidP="005F1A82">
            <w:pPr>
              <w:jc w:val="both"/>
              <w:rPr>
                <w:rFonts w:cs="Arial"/>
                <w:b/>
                <w:sz w:val="24"/>
                <w:szCs w:val="24"/>
              </w:rPr>
            </w:pPr>
            <w:r w:rsidRPr="001234DE">
              <w:rPr>
                <w:rFonts w:cs="Arial"/>
                <w:b/>
                <w:bCs/>
                <w:sz w:val="24"/>
                <w:szCs w:val="24"/>
              </w:rPr>
              <w:t xml:space="preserve">Vigencia de la norma reglamentada o desarrollada: </w:t>
            </w:r>
            <w:r w:rsidR="004F7BFB" w:rsidRPr="003E4BDA">
              <w:rPr>
                <w:rFonts w:cs="Arial"/>
                <w:sz w:val="24"/>
                <w:szCs w:val="24"/>
              </w:rPr>
              <w:t xml:space="preserve">El </w:t>
            </w:r>
            <w:r w:rsidR="00C06E3A" w:rsidRPr="003E4BDA">
              <w:rPr>
                <w:rFonts w:cs="Arial"/>
                <w:sz w:val="24"/>
                <w:szCs w:val="24"/>
              </w:rPr>
              <w:t xml:space="preserve">Acuerdo </w:t>
            </w:r>
            <w:r w:rsidR="00C06E3A">
              <w:rPr>
                <w:rFonts w:cs="Arial"/>
                <w:sz w:val="24"/>
                <w:szCs w:val="24"/>
              </w:rPr>
              <w:t>empezará</w:t>
            </w:r>
            <w:r w:rsidR="003E4BDA">
              <w:rPr>
                <w:rFonts w:cs="Arial"/>
                <w:sz w:val="24"/>
                <w:szCs w:val="24"/>
              </w:rPr>
              <w:t xml:space="preserve"> a </w:t>
            </w:r>
            <w:r w:rsidR="003E4BDA" w:rsidRPr="003E4BDA">
              <w:rPr>
                <w:rFonts w:cs="Arial"/>
                <w:sz w:val="24"/>
                <w:szCs w:val="24"/>
              </w:rPr>
              <w:t>r</w:t>
            </w:r>
            <w:r w:rsidR="003E4BDA">
              <w:rPr>
                <w:rFonts w:cs="Arial"/>
                <w:sz w:val="24"/>
                <w:szCs w:val="24"/>
              </w:rPr>
              <w:t>e</w:t>
            </w:r>
            <w:r w:rsidR="003E4BDA" w:rsidRPr="003E4BDA">
              <w:rPr>
                <w:rFonts w:cs="Arial"/>
                <w:sz w:val="24"/>
                <w:szCs w:val="24"/>
              </w:rPr>
              <w:t>g</w:t>
            </w:r>
            <w:r w:rsidR="003E4BDA">
              <w:rPr>
                <w:rFonts w:cs="Arial"/>
                <w:sz w:val="24"/>
                <w:szCs w:val="24"/>
              </w:rPr>
              <w:t>ir</w:t>
            </w:r>
            <w:r w:rsidR="003E4BDA" w:rsidRPr="003E4BDA">
              <w:rPr>
                <w:rFonts w:cs="Arial"/>
                <w:sz w:val="24"/>
                <w:szCs w:val="24"/>
              </w:rPr>
              <w:t xml:space="preserve"> a partir de su publicación</w:t>
            </w:r>
            <w:r w:rsidR="003E4BDA">
              <w:rPr>
                <w:rFonts w:cs="Arial"/>
                <w:sz w:val="24"/>
                <w:szCs w:val="24"/>
              </w:rPr>
              <w:t>,</w:t>
            </w:r>
            <w:r w:rsidR="003E4BDA" w:rsidRPr="003E4BDA">
              <w:rPr>
                <w:rFonts w:cs="Arial"/>
                <w:sz w:val="24"/>
                <w:szCs w:val="24"/>
              </w:rPr>
              <w:t xml:space="preserve"> salvo el capítulo 4 “Crédito Educativo AVC y Cesantías</w:t>
            </w:r>
            <w:r w:rsidR="003E4BDA">
              <w:rPr>
                <w:rFonts w:cs="Arial"/>
                <w:sz w:val="24"/>
                <w:szCs w:val="24"/>
              </w:rPr>
              <w:t>”</w:t>
            </w:r>
            <w:r w:rsidR="003E4BDA" w:rsidRPr="003E4BDA">
              <w:rPr>
                <w:rFonts w:cs="Arial"/>
                <w:sz w:val="24"/>
                <w:szCs w:val="24"/>
              </w:rPr>
              <w:t>,</w:t>
            </w:r>
            <w:r w:rsidR="003E4BDA">
              <w:rPr>
                <w:rFonts w:cs="Arial"/>
                <w:sz w:val="24"/>
                <w:szCs w:val="24"/>
              </w:rPr>
              <w:t xml:space="preserve"> que entrará en operación por desarrollos tecnológicos </w:t>
            </w:r>
            <w:r w:rsidR="003E4BDA" w:rsidRPr="003E4BDA">
              <w:rPr>
                <w:rFonts w:cs="Arial"/>
                <w:sz w:val="24"/>
                <w:szCs w:val="24"/>
              </w:rPr>
              <w:t>a más tarda</w:t>
            </w:r>
            <w:r w:rsidR="003E4BDA">
              <w:rPr>
                <w:rFonts w:cs="Arial"/>
                <w:sz w:val="24"/>
                <w:szCs w:val="24"/>
              </w:rPr>
              <w:t>r</w:t>
            </w:r>
            <w:r w:rsidR="003E4BDA" w:rsidRPr="003E4BDA">
              <w:rPr>
                <w:rFonts w:cs="Arial"/>
                <w:sz w:val="24"/>
                <w:szCs w:val="24"/>
              </w:rPr>
              <w:t xml:space="preserve"> el 31 de julio de 2025</w:t>
            </w:r>
            <w:r w:rsidR="00DE1C53">
              <w:rPr>
                <w:rFonts w:cs="Arial"/>
                <w:sz w:val="24"/>
                <w:szCs w:val="24"/>
              </w:rPr>
              <w:t xml:space="preserve"> y el</w:t>
            </w:r>
            <w:r w:rsidR="00DE1C53">
              <w:rPr>
                <w:rFonts w:ascii="DIN 2014" w:hAnsi="DIN 2014"/>
              </w:rPr>
              <w:t xml:space="preserve"> </w:t>
            </w:r>
            <w:r w:rsidR="00DE1C53" w:rsidRPr="00DE1C53">
              <w:rPr>
                <w:rFonts w:cs="Arial"/>
                <w:sz w:val="24"/>
                <w:szCs w:val="24"/>
              </w:rPr>
              <w:t xml:space="preserve">numeral 5.4.2 Pagos a Capital a Prorrata: </w:t>
            </w:r>
            <w:r w:rsidR="00DE1C53">
              <w:rPr>
                <w:rFonts w:cs="Arial"/>
                <w:sz w:val="24"/>
                <w:szCs w:val="24"/>
              </w:rPr>
              <w:t>E</w:t>
            </w:r>
            <w:r w:rsidR="00DE1C53" w:rsidRPr="00DE1C53">
              <w:rPr>
                <w:rFonts w:cs="Arial"/>
                <w:sz w:val="24"/>
                <w:szCs w:val="24"/>
              </w:rPr>
              <w:t xml:space="preserve">n cuanto al cálculo del mismo </w:t>
            </w:r>
            <w:r w:rsidR="000264CC" w:rsidRPr="00DE1C53">
              <w:rPr>
                <w:rFonts w:cs="Arial"/>
                <w:sz w:val="24"/>
                <w:szCs w:val="24"/>
              </w:rPr>
              <w:t>entrar</w:t>
            </w:r>
            <w:r w:rsidR="000264CC">
              <w:rPr>
                <w:rFonts w:cs="Arial"/>
                <w:sz w:val="24"/>
                <w:szCs w:val="24"/>
              </w:rPr>
              <w:t>á</w:t>
            </w:r>
            <w:r w:rsidR="00DE1C53" w:rsidRPr="00DE1C53">
              <w:rPr>
                <w:rFonts w:cs="Arial"/>
                <w:sz w:val="24"/>
                <w:szCs w:val="24"/>
              </w:rPr>
              <w:t xml:space="preserve"> en operación a más tardar el 30 de abril de 2025, o antes si los desarrollos tecnológicos lo permiten.</w:t>
            </w:r>
          </w:p>
        </w:tc>
      </w:tr>
      <w:tr w:rsidR="00FF1E8D" w:rsidRPr="001234DE" w14:paraId="4DFAF129" w14:textId="77777777" w:rsidTr="009C2732">
        <w:trPr>
          <w:trHeight w:val="1085"/>
        </w:trPr>
        <w:tc>
          <w:tcPr>
            <w:tcW w:w="8977" w:type="dxa"/>
          </w:tcPr>
          <w:p w14:paraId="5CE16560" w14:textId="5E61070F" w:rsidR="00C94E4C" w:rsidRPr="001234DE" w:rsidRDefault="0009232C" w:rsidP="005F1A82">
            <w:pPr>
              <w:jc w:val="both"/>
              <w:rPr>
                <w:rFonts w:cs="Arial"/>
                <w:b/>
                <w:sz w:val="24"/>
                <w:szCs w:val="24"/>
              </w:rPr>
            </w:pPr>
            <w:r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1745EE" w:rsidRPr="001234DE">
              <w:rPr>
                <w:rFonts w:cs="Arial"/>
                <w:bCs/>
                <w:sz w:val="24"/>
                <w:szCs w:val="24"/>
              </w:rPr>
              <w:t>Deroga el Acuerdo</w:t>
            </w:r>
            <w:r w:rsidR="00AE359D" w:rsidRPr="001234DE">
              <w:rPr>
                <w:rFonts w:cs="Arial"/>
                <w:bCs/>
                <w:sz w:val="24"/>
                <w:szCs w:val="24"/>
              </w:rPr>
              <w:t xml:space="preserve"> </w:t>
            </w:r>
            <w:r w:rsidR="002D6930">
              <w:rPr>
                <w:rFonts w:cs="Arial"/>
                <w:bCs/>
                <w:sz w:val="24"/>
                <w:szCs w:val="24"/>
              </w:rPr>
              <w:t>2605</w:t>
            </w:r>
            <w:r w:rsidR="00353B58" w:rsidRPr="001234DE">
              <w:rPr>
                <w:rFonts w:cs="Arial"/>
                <w:bCs/>
                <w:sz w:val="24"/>
                <w:szCs w:val="24"/>
              </w:rPr>
              <w:t xml:space="preserve"> </w:t>
            </w:r>
            <w:r w:rsidR="001745EE" w:rsidRPr="001234DE">
              <w:rPr>
                <w:rFonts w:cs="Arial"/>
                <w:bCs/>
                <w:sz w:val="24"/>
                <w:szCs w:val="24"/>
              </w:rPr>
              <w:t>de 20</w:t>
            </w:r>
            <w:r w:rsidR="00AE359D" w:rsidRPr="001234DE">
              <w:rPr>
                <w:rFonts w:cs="Arial"/>
                <w:bCs/>
                <w:sz w:val="24"/>
                <w:szCs w:val="24"/>
              </w:rPr>
              <w:t>2</w:t>
            </w:r>
            <w:r w:rsidR="00E264C1">
              <w:rPr>
                <w:rFonts w:cs="Arial"/>
                <w:bCs/>
                <w:sz w:val="24"/>
                <w:szCs w:val="24"/>
              </w:rPr>
              <w:t>5</w:t>
            </w:r>
            <w:r w:rsidR="00353B58" w:rsidRPr="001234DE">
              <w:rPr>
                <w:rFonts w:cs="Arial"/>
                <w:bCs/>
                <w:sz w:val="24"/>
                <w:szCs w:val="24"/>
              </w:rPr>
              <w:t>,</w:t>
            </w:r>
            <w:r w:rsidR="001745EE" w:rsidRPr="001234DE">
              <w:rPr>
                <w:rFonts w:cs="Arial"/>
                <w:bCs/>
                <w:sz w:val="24"/>
                <w:szCs w:val="24"/>
              </w:rPr>
              <w:t xml:space="preserve"> por medio del cual se adopta la Versión </w:t>
            </w:r>
            <w:r w:rsidR="000264CC">
              <w:rPr>
                <w:rFonts w:cs="Arial"/>
                <w:bCs/>
                <w:sz w:val="24"/>
                <w:szCs w:val="24"/>
              </w:rPr>
              <w:t>6</w:t>
            </w:r>
            <w:r w:rsidR="00140271" w:rsidRPr="001234DE">
              <w:rPr>
                <w:rFonts w:cs="Arial"/>
                <w:bCs/>
                <w:sz w:val="24"/>
                <w:szCs w:val="24"/>
              </w:rPr>
              <w:t xml:space="preserve"> </w:t>
            </w:r>
            <w:r w:rsidR="001745EE" w:rsidRPr="001234DE">
              <w:rPr>
                <w:rFonts w:cs="Arial"/>
                <w:bCs/>
                <w:sz w:val="24"/>
                <w:szCs w:val="24"/>
              </w:rPr>
              <w:t xml:space="preserve">del </w:t>
            </w:r>
            <w:r w:rsidR="001745EE" w:rsidRPr="001234DE">
              <w:rPr>
                <w:rFonts w:cs="Arial"/>
                <w:iCs/>
                <w:sz w:val="24"/>
                <w:szCs w:val="24"/>
              </w:rPr>
              <w:t>Reglamento de Crédito y Leasing Habitacional en el Fondo Nacional del Ahorro</w:t>
            </w:r>
            <w:r w:rsidR="0020680C">
              <w:rPr>
                <w:rFonts w:cs="Arial"/>
                <w:iCs/>
                <w:sz w:val="24"/>
                <w:szCs w:val="24"/>
              </w:rPr>
              <w:t xml:space="preserve"> S.A</w:t>
            </w:r>
            <w:r w:rsidR="00C94E4C" w:rsidRPr="001234DE">
              <w:rPr>
                <w:rFonts w:cs="Arial"/>
                <w:iCs/>
                <w:sz w:val="24"/>
                <w:szCs w:val="24"/>
              </w:rPr>
              <w:t>.</w:t>
            </w:r>
          </w:p>
        </w:tc>
      </w:tr>
      <w:tr w:rsidR="00A56AE8" w:rsidRPr="001234DE" w14:paraId="1C495618" w14:textId="77777777" w:rsidTr="00692C91">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DA655C" w:rsidRDefault="00AB253B" w:rsidP="00AB253B">
            <w:pPr>
              <w:jc w:val="both"/>
              <w:rPr>
                <w:rFonts w:cs="Arial"/>
                <w:sz w:val="24"/>
                <w:szCs w:val="24"/>
              </w:rPr>
            </w:pPr>
          </w:p>
          <w:p w14:paraId="7F7036CD" w14:textId="33142CCB" w:rsidR="00C7549E" w:rsidRPr="00C7549E" w:rsidRDefault="00C7549E" w:rsidP="00C7549E">
            <w:pPr>
              <w:jc w:val="both"/>
              <w:rPr>
                <w:rFonts w:cs="Arial"/>
                <w:iCs/>
                <w:sz w:val="24"/>
                <w:szCs w:val="24"/>
              </w:rPr>
            </w:pPr>
            <w:r>
              <w:rPr>
                <w:rFonts w:cs="Arial"/>
                <w:iCs/>
                <w:sz w:val="24"/>
                <w:szCs w:val="24"/>
              </w:rPr>
              <w:t>A</w:t>
            </w:r>
            <w:r w:rsidRPr="00C7549E">
              <w:rPr>
                <w:rFonts w:cs="Arial"/>
                <w:iCs/>
                <w:sz w:val="24"/>
                <w:szCs w:val="24"/>
              </w:rPr>
              <w:t xml:space="preserve"> raíz de la maduración del crédito constructor y con el propósito de otorgar un mayor dinamismo a la colocación del producto, la Vicepresidencia de Crédito en conjunto con la Gerencia Constructor de la entidad, consideran pertinente ajustar determinadas políticas contempladas en el Reglamento de producto.</w:t>
            </w:r>
          </w:p>
          <w:p w14:paraId="0EF35B06" w14:textId="77777777" w:rsidR="00C7549E" w:rsidRPr="00C7549E" w:rsidRDefault="00C7549E" w:rsidP="00C7549E">
            <w:pPr>
              <w:jc w:val="both"/>
              <w:rPr>
                <w:rFonts w:cs="Arial"/>
                <w:iCs/>
                <w:sz w:val="24"/>
                <w:szCs w:val="24"/>
              </w:rPr>
            </w:pPr>
          </w:p>
          <w:p w14:paraId="7B5165B5" w14:textId="3BAAD3ED" w:rsidR="00DE1C53" w:rsidRPr="00DE6829" w:rsidRDefault="00C7549E" w:rsidP="00C7549E">
            <w:pPr>
              <w:jc w:val="both"/>
              <w:rPr>
                <w:rFonts w:cs="Arial"/>
                <w:iCs/>
                <w:color w:val="17365D" w:themeColor="text2" w:themeShade="BF"/>
                <w:sz w:val="24"/>
                <w:szCs w:val="24"/>
              </w:rPr>
            </w:pPr>
            <w:r>
              <w:rPr>
                <w:rFonts w:cs="Arial"/>
                <w:iCs/>
                <w:sz w:val="24"/>
                <w:szCs w:val="24"/>
              </w:rPr>
              <w:t>S</w:t>
            </w:r>
            <w:r w:rsidRPr="00C7549E">
              <w:rPr>
                <w:rFonts w:cs="Arial"/>
                <w:iCs/>
                <w:sz w:val="24"/>
                <w:szCs w:val="24"/>
              </w:rPr>
              <w:t xml:space="preserve">e </w:t>
            </w:r>
            <w:r w:rsidRPr="000D307B">
              <w:rPr>
                <w:rFonts w:cs="Arial"/>
                <w:iCs/>
                <w:color w:val="000000" w:themeColor="text1"/>
                <w:sz w:val="24"/>
                <w:szCs w:val="24"/>
              </w:rPr>
              <w:t xml:space="preserve">hace necesaria la modificación del Reglamento de Crédito y Leasing Habitacional, en los siguientes numerales: </w:t>
            </w:r>
            <w:r w:rsidR="000264CC" w:rsidRPr="000D307B">
              <w:rPr>
                <w:rFonts w:cs="Arial"/>
                <w:iCs/>
                <w:color w:val="000000" w:themeColor="text1"/>
                <w:sz w:val="24"/>
                <w:szCs w:val="24"/>
              </w:rPr>
              <w:t>5.2.1 Prioridad, 5.2.4.2 Crédito Constructor Terminación, 5.3.1 Perfil del cliente para el Producto Crédito Constructor Tradicional Vivienda Nueva y Terminación, 5.3.2 Solicitud Crédito Constructor, 5.3.3  Vigencia Oferta Crédito Constructor, 5.3.4 Ampliación Término Oferta Crédito Constructor,</w:t>
            </w:r>
            <w:r w:rsidR="00945744" w:rsidRPr="000D307B">
              <w:rPr>
                <w:rFonts w:cs="Arial"/>
                <w:iCs/>
                <w:color w:val="000000" w:themeColor="text1"/>
                <w:sz w:val="24"/>
                <w:szCs w:val="24"/>
              </w:rPr>
              <w:t xml:space="preserve">5.4.2 Pagos a capital a prorrata, 5.4.2.2 Diferencia de Prorrata, 5.4.3 Pago de intereses, </w:t>
            </w:r>
            <w:r w:rsidR="000264CC" w:rsidRPr="000D307B">
              <w:rPr>
                <w:rFonts w:cs="Arial"/>
                <w:iCs/>
                <w:color w:val="000000" w:themeColor="text1"/>
                <w:sz w:val="24"/>
                <w:szCs w:val="24"/>
              </w:rPr>
              <w:t xml:space="preserve">5.5 Alcance de la Aprobación del Crédito, 5.5.2 </w:t>
            </w:r>
            <w:bookmarkStart w:id="0" w:name="_Toc305585030"/>
            <w:bookmarkStart w:id="1" w:name="_Toc437449365"/>
            <w:bookmarkStart w:id="2" w:name="_Toc438121767"/>
            <w:bookmarkStart w:id="3" w:name="_Toc493593116"/>
            <w:bookmarkStart w:id="4" w:name="_Toc4085483"/>
            <w:r w:rsidR="000264CC" w:rsidRPr="000D307B">
              <w:rPr>
                <w:rFonts w:cs="Arial"/>
                <w:iCs/>
                <w:color w:val="000000" w:themeColor="text1"/>
                <w:sz w:val="24"/>
                <w:szCs w:val="24"/>
              </w:rPr>
              <w:t xml:space="preserve">Condiciones </w:t>
            </w:r>
            <w:bookmarkEnd w:id="0"/>
            <w:bookmarkEnd w:id="1"/>
            <w:bookmarkEnd w:id="2"/>
            <w:bookmarkEnd w:id="3"/>
            <w:bookmarkEnd w:id="4"/>
            <w:r w:rsidR="000264CC" w:rsidRPr="000D307B">
              <w:rPr>
                <w:rFonts w:cs="Arial"/>
                <w:iCs/>
                <w:color w:val="000000" w:themeColor="text1"/>
                <w:sz w:val="24"/>
                <w:szCs w:val="24"/>
              </w:rPr>
              <w:t xml:space="preserve">Financieras del Crédito Constructor, 5.6.2 Lote, </w:t>
            </w:r>
            <w:r w:rsidR="00F53D6F" w:rsidRPr="000D307B">
              <w:rPr>
                <w:rFonts w:cs="Arial"/>
                <w:iCs/>
                <w:color w:val="000000" w:themeColor="text1"/>
                <w:sz w:val="24"/>
                <w:szCs w:val="24"/>
              </w:rPr>
              <w:t>5.6</w:t>
            </w:r>
            <w:r w:rsidR="003563BE" w:rsidRPr="000D307B">
              <w:rPr>
                <w:rFonts w:cs="Arial"/>
                <w:iCs/>
                <w:color w:val="000000" w:themeColor="text1"/>
                <w:sz w:val="24"/>
                <w:szCs w:val="24"/>
              </w:rPr>
              <w:t>.</w:t>
            </w:r>
            <w:r w:rsidR="00F53D6F" w:rsidRPr="000D307B">
              <w:rPr>
                <w:rFonts w:cs="Arial"/>
                <w:iCs/>
                <w:color w:val="000000" w:themeColor="text1"/>
                <w:sz w:val="24"/>
                <w:szCs w:val="24"/>
              </w:rPr>
              <w:t xml:space="preserve">10 </w:t>
            </w:r>
            <w:r w:rsidR="00F659B7" w:rsidRPr="000D307B">
              <w:rPr>
                <w:rFonts w:cs="Arial"/>
                <w:iCs/>
                <w:color w:val="000000" w:themeColor="text1"/>
                <w:sz w:val="24"/>
                <w:szCs w:val="24"/>
              </w:rPr>
              <w:t>C</w:t>
            </w:r>
            <w:r w:rsidR="00F53D6F" w:rsidRPr="000D307B">
              <w:rPr>
                <w:rFonts w:cs="Arial"/>
                <w:iCs/>
                <w:color w:val="000000" w:themeColor="text1"/>
                <w:sz w:val="24"/>
                <w:szCs w:val="24"/>
              </w:rPr>
              <w:t xml:space="preserve">ondiciones y </w:t>
            </w:r>
            <w:r w:rsidR="00F659B7" w:rsidRPr="000D307B">
              <w:rPr>
                <w:rFonts w:cs="Arial"/>
                <w:iCs/>
                <w:color w:val="000000" w:themeColor="text1"/>
                <w:sz w:val="24"/>
                <w:szCs w:val="24"/>
              </w:rPr>
              <w:t>R</w:t>
            </w:r>
            <w:r w:rsidR="00F53D6F" w:rsidRPr="000D307B">
              <w:rPr>
                <w:rFonts w:cs="Arial"/>
                <w:iCs/>
                <w:color w:val="000000" w:themeColor="text1"/>
                <w:sz w:val="24"/>
                <w:szCs w:val="24"/>
              </w:rPr>
              <w:t xml:space="preserve">estricciones para los </w:t>
            </w:r>
            <w:r w:rsidR="00F659B7" w:rsidRPr="000D307B">
              <w:rPr>
                <w:rFonts w:cs="Arial"/>
                <w:iCs/>
                <w:color w:val="000000" w:themeColor="text1"/>
                <w:sz w:val="24"/>
                <w:szCs w:val="24"/>
              </w:rPr>
              <w:t>P</w:t>
            </w:r>
            <w:r w:rsidR="00F53D6F" w:rsidRPr="000D307B">
              <w:rPr>
                <w:rFonts w:cs="Arial"/>
                <w:iCs/>
                <w:color w:val="000000" w:themeColor="text1"/>
                <w:sz w:val="24"/>
                <w:szCs w:val="24"/>
              </w:rPr>
              <w:t xml:space="preserve">atrimonios </w:t>
            </w:r>
            <w:r w:rsidR="00F659B7" w:rsidRPr="000D307B">
              <w:rPr>
                <w:rFonts w:cs="Arial"/>
                <w:iCs/>
                <w:color w:val="000000" w:themeColor="text1"/>
                <w:sz w:val="24"/>
                <w:szCs w:val="24"/>
              </w:rPr>
              <w:t>A</w:t>
            </w:r>
            <w:r w:rsidR="00F53D6F" w:rsidRPr="000D307B">
              <w:rPr>
                <w:rFonts w:cs="Arial"/>
                <w:iCs/>
                <w:color w:val="000000" w:themeColor="text1"/>
                <w:sz w:val="24"/>
                <w:szCs w:val="24"/>
              </w:rPr>
              <w:t xml:space="preserve">utónomos, 5.8.2 </w:t>
            </w:r>
            <w:r w:rsidR="00F659B7" w:rsidRPr="000D307B">
              <w:rPr>
                <w:rFonts w:cs="Arial"/>
                <w:iCs/>
                <w:color w:val="000000" w:themeColor="text1"/>
                <w:sz w:val="24"/>
                <w:szCs w:val="24"/>
              </w:rPr>
              <w:t>P</w:t>
            </w:r>
            <w:r w:rsidR="00F53D6F" w:rsidRPr="000D307B">
              <w:rPr>
                <w:rFonts w:cs="Arial"/>
                <w:iCs/>
                <w:color w:val="000000" w:themeColor="text1"/>
                <w:sz w:val="24"/>
                <w:szCs w:val="24"/>
              </w:rPr>
              <w:t xml:space="preserve">ago del </w:t>
            </w:r>
            <w:r w:rsidR="00F659B7" w:rsidRPr="000D307B">
              <w:rPr>
                <w:rFonts w:cs="Arial"/>
                <w:iCs/>
                <w:color w:val="000000" w:themeColor="text1"/>
                <w:sz w:val="24"/>
                <w:szCs w:val="24"/>
              </w:rPr>
              <w:t>L</w:t>
            </w:r>
            <w:r w:rsidR="00F53D6F" w:rsidRPr="000D307B">
              <w:rPr>
                <w:rFonts w:cs="Arial"/>
                <w:iCs/>
                <w:color w:val="000000" w:themeColor="text1"/>
                <w:sz w:val="24"/>
                <w:szCs w:val="24"/>
              </w:rPr>
              <w:t>ote donde</w:t>
            </w:r>
            <w:r w:rsidR="003563BE" w:rsidRPr="000D307B">
              <w:rPr>
                <w:rFonts w:cs="Arial"/>
                <w:iCs/>
                <w:color w:val="000000" w:themeColor="text1"/>
                <w:sz w:val="24"/>
                <w:szCs w:val="24"/>
              </w:rPr>
              <w:t xml:space="preserve"> se  </w:t>
            </w:r>
            <w:r w:rsidR="000D307B">
              <w:rPr>
                <w:rFonts w:cs="Arial"/>
                <w:iCs/>
                <w:color w:val="000000" w:themeColor="text1"/>
                <w:sz w:val="24"/>
                <w:szCs w:val="24"/>
              </w:rPr>
              <w:lastRenderedPageBreak/>
              <w:t>D</w:t>
            </w:r>
            <w:r w:rsidR="003563BE" w:rsidRPr="00F659B7">
              <w:rPr>
                <w:rFonts w:cs="Arial"/>
                <w:iCs/>
                <w:sz w:val="24"/>
                <w:szCs w:val="24"/>
              </w:rPr>
              <w:t xml:space="preserve">esarrollará el </w:t>
            </w:r>
            <w:r w:rsidR="000D307B">
              <w:rPr>
                <w:rFonts w:cs="Arial"/>
                <w:iCs/>
                <w:sz w:val="24"/>
                <w:szCs w:val="24"/>
              </w:rPr>
              <w:t>P</w:t>
            </w:r>
            <w:r w:rsidR="003563BE" w:rsidRPr="00F659B7">
              <w:rPr>
                <w:rFonts w:cs="Arial"/>
                <w:iCs/>
                <w:sz w:val="24"/>
                <w:szCs w:val="24"/>
              </w:rPr>
              <w:t xml:space="preserve">royecto, </w:t>
            </w:r>
            <w:r w:rsidR="000264CC" w:rsidRPr="00F659B7">
              <w:rPr>
                <w:rFonts w:cs="Arial"/>
                <w:iCs/>
                <w:sz w:val="24"/>
                <w:szCs w:val="24"/>
              </w:rPr>
              <w:t xml:space="preserve">5.8.3 Pago Ubicación de la Valla Publicitaria del Proyecto, 5.9 Constitución de Pólizas, 5.10.1 Documentos y Garantías Crédito Constructor Tradicional Vivienda Nueva y Terminación, 5.10.2 Garantías  Mobiliarias, 5.10.3 Suscripción del Pagaré y Carta de Instrucciones, 5.11.1.1 Nivel de preventas mínimo del 70%,  5.11.1.2  Plazo  Máximo, 5.11.2 Solicitud de Desembolso por parte del Cliente Constructor, </w:t>
            </w:r>
            <w:r w:rsidR="00760078" w:rsidRPr="00F659B7">
              <w:rPr>
                <w:rFonts w:cs="Arial"/>
                <w:iCs/>
                <w:sz w:val="24"/>
                <w:szCs w:val="24"/>
              </w:rPr>
              <w:t xml:space="preserve">5.11.4 incumplimiento de requisitos de desembolso, </w:t>
            </w:r>
            <w:r w:rsidR="000264CC" w:rsidRPr="00F659B7">
              <w:rPr>
                <w:rFonts w:cs="Arial"/>
                <w:iCs/>
                <w:sz w:val="24"/>
                <w:szCs w:val="24"/>
              </w:rPr>
              <w:t>5.12.1 Desembolso de las Subrogaciones con Boleta Ingreso a Registro, 5.12.2 Aplicación de las Subrogaciones, 5.13 Desafectaciones, 5.13.1 Cartas de Compromiso, 5.14 Obligaciones del Cliente</w:t>
            </w:r>
            <w:r w:rsidR="003E3208" w:rsidRPr="00F659B7">
              <w:rPr>
                <w:rFonts w:cs="Arial"/>
                <w:iCs/>
                <w:sz w:val="24"/>
                <w:szCs w:val="24"/>
              </w:rPr>
              <w:t xml:space="preserve">, </w:t>
            </w:r>
            <w:r w:rsidR="000264CC" w:rsidRPr="00F659B7">
              <w:rPr>
                <w:rFonts w:cs="Arial"/>
                <w:iCs/>
                <w:sz w:val="24"/>
                <w:szCs w:val="24"/>
              </w:rPr>
              <w:t>se anexan definiciones</w:t>
            </w:r>
            <w:r w:rsidR="00DE6829" w:rsidRPr="00F659B7">
              <w:rPr>
                <w:rFonts w:cs="Arial"/>
                <w:iCs/>
                <w:sz w:val="24"/>
                <w:szCs w:val="24"/>
              </w:rPr>
              <w:t xml:space="preserve"> y se ajustan las definiciones de  </w:t>
            </w:r>
            <w:r w:rsidR="008D1B9B">
              <w:rPr>
                <w:rFonts w:cs="Arial"/>
                <w:iCs/>
                <w:sz w:val="24"/>
                <w:szCs w:val="24"/>
              </w:rPr>
              <w:t>C</w:t>
            </w:r>
            <w:r w:rsidR="00DE6829" w:rsidRPr="00F659B7">
              <w:rPr>
                <w:rFonts w:cs="Arial"/>
                <w:iCs/>
                <w:sz w:val="24"/>
                <w:szCs w:val="24"/>
              </w:rPr>
              <w:t xml:space="preserve">onsorcio y </w:t>
            </w:r>
            <w:r w:rsidR="008D1B9B">
              <w:rPr>
                <w:rFonts w:cs="Arial"/>
                <w:iCs/>
                <w:sz w:val="24"/>
                <w:szCs w:val="24"/>
              </w:rPr>
              <w:t>U</w:t>
            </w:r>
            <w:r w:rsidR="00DE6829" w:rsidRPr="00F659B7">
              <w:rPr>
                <w:rFonts w:cs="Arial"/>
                <w:iCs/>
                <w:sz w:val="24"/>
                <w:szCs w:val="24"/>
              </w:rPr>
              <w:t xml:space="preserve">nión </w:t>
            </w:r>
            <w:r w:rsidR="008D1B9B">
              <w:rPr>
                <w:rFonts w:cs="Arial"/>
                <w:iCs/>
                <w:sz w:val="24"/>
                <w:szCs w:val="24"/>
              </w:rPr>
              <w:t>T</w:t>
            </w:r>
            <w:r w:rsidR="00DE6829" w:rsidRPr="00F659B7">
              <w:rPr>
                <w:rFonts w:cs="Arial"/>
                <w:iCs/>
                <w:sz w:val="24"/>
                <w:szCs w:val="24"/>
              </w:rPr>
              <w:t>emporal</w:t>
            </w:r>
            <w:r w:rsidR="003E3208" w:rsidRPr="00F659B7">
              <w:rPr>
                <w:rFonts w:cs="Arial"/>
                <w:iCs/>
                <w:sz w:val="24"/>
                <w:szCs w:val="24"/>
              </w:rPr>
              <w:t xml:space="preserve">. </w:t>
            </w:r>
          </w:p>
          <w:p w14:paraId="28F7B518" w14:textId="07A26034" w:rsidR="00C7549E" w:rsidRPr="00C7549E" w:rsidRDefault="00DE1C53" w:rsidP="00C7549E">
            <w:pPr>
              <w:jc w:val="both"/>
              <w:rPr>
                <w:rFonts w:cs="Arial"/>
                <w:iCs/>
                <w:sz w:val="24"/>
                <w:szCs w:val="24"/>
              </w:rPr>
            </w:pPr>
            <w:r>
              <w:rPr>
                <w:rFonts w:cs="Arial"/>
                <w:iCs/>
                <w:sz w:val="24"/>
                <w:szCs w:val="24"/>
              </w:rPr>
              <w:t xml:space="preserve"> </w:t>
            </w:r>
          </w:p>
          <w:p w14:paraId="2B1BB513" w14:textId="10AEBB31"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 xml:space="preserve">los afiliados del Fondo Nacional del Ahorro S.A. </w:t>
            </w:r>
            <w:r w:rsidR="003A6810" w:rsidRPr="00DA655C">
              <w:rPr>
                <w:rFonts w:cs="Arial"/>
                <w:sz w:val="24"/>
                <w:szCs w:val="24"/>
              </w:rPr>
              <w:t>y usuarios de Crédito Hipotecario y Leasing Habitacional.</w:t>
            </w:r>
            <w:r w:rsidR="00AD039D" w:rsidRPr="00DA655C">
              <w:rPr>
                <w:rFonts w:cs="Arial"/>
                <w:sz w:val="24"/>
                <w:szCs w:val="24"/>
              </w:rPr>
              <w:t xml:space="preserve"> </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5C6468AC" w14:textId="201AF3A4" w:rsidR="00E264C1" w:rsidRPr="00ED1835" w:rsidRDefault="00AA6BD0" w:rsidP="006640F3">
            <w:pPr>
              <w:rPr>
                <w:rFonts w:cs="Arial"/>
                <w:bCs/>
                <w:sz w:val="24"/>
                <w:szCs w:val="24"/>
              </w:rPr>
            </w:pPr>
            <w:r w:rsidRPr="001234DE">
              <w:rPr>
                <w:rFonts w:cs="Arial"/>
                <w:b/>
                <w:sz w:val="24"/>
                <w:szCs w:val="24"/>
              </w:rPr>
              <w:lastRenderedPageBreak/>
              <w:t>IMPACTO ECONÓMICO</w:t>
            </w:r>
            <w:r w:rsidR="005203A3" w:rsidRPr="00ED1835">
              <w:rPr>
                <w:rFonts w:cs="Arial"/>
                <w:bCs/>
                <w:sz w:val="24"/>
                <w:szCs w:val="24"/>
              </w:rPr>
              <w:t>:</w:t>
            </w:r>
            <w:r w:rsidRPr="00ED1835">
              <w:rPr>
                <w:rFonts w:cs="Arial"/>
                <w:bCs/>
                <w:sz w:val="24"/>
                <w:szCs w:val="24"/>
              </w:rPr>
              <w:t xml:space="preserve"> </w:t>
            </w:r>
            <w:r w:rsidR="006640F3">
              <w:rPr>
                <w:sz w:val="24"/>
                <w:szCs w:val="24"/>
              </w:rPr>
              <w:t xml:space="preserve"> </w:t>
            </w:r>
            <w:r w:rsidR="000264CC">
              <w:rPr>
                <w:sz w:val="24"/>
                <w:szCs w:val="24"/>
              </w:rPr>
              <w:t xml:space="preserve">No aplica </w:t>
            </w:r>
          </w:p>
          <w:p w14:paraId="13AB308D" w14:textId="77777777" w:rsidR="00974BC6" w:rsidRPr="001234DE"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6928A803"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2D6930">
              <w:rPr>
                <w:rFonts w:cs="Arial"/>
                <w:sz w:val="24"/>
                <w:szCs w:val="24"/>
              </w:rPr>
              <w:t>14</w:t>
            </w:r>
            <w:r w:rsidR="003C4DD9" w:rsidRPr="001234DE">
              <w:rPr>
                <w:rFonts w:cs="Arial"/>
                <w:sz w:val="24"/>
                <w:szCs w:val="24"/>
              </w:rPr>
              <w:t xml:space="preserve"> </w:t>
            </w:r>
            <w:r w:rsidR="008E782A" w:rsidRPr="001234DE">
              <w:rPr>
                <w:rFonts w:cs="Arial"/>
                <w:sz w:val="24"/>
                <w:szCs w:val="24"/>
              </w:rPr>
              <w:t>al</w:t>
            </w:r>
            <w:r w:rsidR="002D6930">
              <w:rPr>
                <w:rFonts w:cs="Arial"/>
                <w:sz w:val="24"/>
                <w:szCs w:val="24"/>
              </w:rPr>
              <w:t xml:space="preserve"> 2</w:t>
            </w:r>
            <w:r w:rsidR="00211982">
              <w:rPr>
                <w:rFonts w:cs="Arial"/>
                <w:sz w:val="24"/>
                <w:szCs w:val="24"/>
              </w:rPr>
              <w:t>4</w:t>
            </w:r>
            <w:r w:rsidR="00F46B7E" w:rsidRPr="001234DE">
              <w:rPr>
                <w:rFonts w:cs="Arial"/>
                <w:sz w:val="24"/>
                <w:szCs w:val="24"/>
              </w:rPr>
              <w:t xml:space="preserve">   </w:t>
            </w:r>
            <w:r w:rsidR="00210CDD" w:rsidRPr="001234DE">
              <w:rPr>
                <w:rFonts w:cs="Arial"/>
                <w:sz w:val="24"/>
                <w:szCs w:val="24"/>
              </w:rPr>
              <w:t xml:space="preserve">de </w:t>
            </w:r>
            <w:r w:rsidR="0041647A">
              <w:rPr>
                <w:rFonts w:cs="Arial"/>
                <w:sz w:val="24"/>
                <w:szCs w:val="24"/>
              </w:rPr>
              <w:t xml:space="preserve"> </w:t>
            </w:r>
            <w:r w:rsidR="000264CC">
              <w:rPr>
                <w:rFonts w:cs="Arial"/>
                <w:sz w:val="24"/>
                <w:szCs w:val="24"/>
              </w:rPr>
              <w:t>marzo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538199CA" w14:textId="77777777" w:rsidR="00163713" w:rsidRPr="001234DE" w:rsidRDefault="00163713" w:rsidP="009C2732">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p w14:paraId="2DF5B38D" w14:textId="77777777" w:rsidR="00FA5FBB" w:rsidRPr="001234DE" w:rsidRDefault="00FA5FBB" w:rsidP="009C2732">
            <w:pPr>
              <w:jc w:val="both"/>
              <w:rPr>
                <w:rFonts w:cs="Arial"/>
                <w:sz w:val="24"/>
                <w:szCs w:val="24"/>
              </w:rPr>
            </w:pPr>
          </w:p>
          <w:p w14:paraId="04DA699E" w14:textId="77777777" w:rsidR="003D7DC6" w:rsidRPr="001234DE" w:rsidRDefault="003D7DC6" w:rsidP="001D02CA">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CD5E6" w14:textId="77777777" w:rsidR="00A47F55" w:rsidRDefault="00A47F55" w:rsidP="00143CFA">
      <w:r>
        <w:separator/>
      </w:r>
    </w:p>
  </w:endnote>
  <w:endnote w:type="continuationSeparator" w:id="0">
    <w:p w14:paraId="7DE7FA71" w14:textId="77777777" w:rsidR="00A47F55" w:rsidRDefault="00A47F55"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2014">
    <w:altName w:val="Calibri"/>
    <w:charset w:val="4D"/>
    <w:family w:val="swiss"/>
    <w:pitch w:val="variable"/>
    <w:sig w:usb0="A00002F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719B1" w14:textId="77777777" w:rsidR="00A47F55" w:rsidRDefault="00A47F55" w:rsidP="00143CFA">
      <w:r>
        <w:separator/>
      </w:r>
    </w:p>
  </w:footnote>
  <w:footnote w:type="continuationSeparator" w:id="0">
    <w:p w14:paraId="5E2D4194" w14:textId="77777777" w:rsidR="00A47F55" w:rsidRDefault="00A47F55"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7"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0"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7"/>
  </w:num>
  <w:num w:numId="2" w16cid:durableId="1161315707">
    <w:abstractNumId w:val="5"/>
  </w:num>
  <w:num w:numId="3" w16cid:durableId="1079786781">
    <w:abstractNumId w:val="11"/>
  </w:num>
  <w:num w:numId="4" w16cid:durableId="1737513492">
    <w:abstractNumId w:val="1"/>
  </w:num>
  <w:num w:numId="5" w16cid:durableId="1307472083">
    <w:abstractNumId w:val="13"/>
  </w:num>
  <w:num w:numId="6" w16cid:durableId="1789423090">
    <w:abstractNumId w:val="6"/>
  </w:num>
  <w:num w:numId="7" w16cid:durableId="630214083">
    <w:abstractNumId w:val="0"/>
  </w:num>
  <w:num w:numId="8" w16cid:durableId="517812840">
    <w:abstractNumId w:val="4"/>
  </w:num>
  <w:num w:numId="9" w16cid:durableId="209727148">
    <w:abstractNumId w:val="9"/>
  </w:num>
  <w:num w:numId="10" w16cid:durableId="1246190414">
    <w:abstractNumId w:val="2"/>
  </w:num>
  <w:num w:numId="11" w16cid:durableId="321586350">
    <w:abstractNumId w:val="10"/>
  </w:num>
  <w:num w:numId="12" w16cid:durableId="115415875">
    <w:abstractNumId w:val="8"/>
  </w:num>
  <w:num w:numId="13" w16cid:durableId="2055809415">
    <w:abstractNumId w:val="14"/>
  </w:num>
  <w:num w:numId="14" w16cid:durableId="1407607863">
    <w:abstractNumId w:val="3"/>
  </w:num>
  <w:num w:numId="15" w16cid:durableId="1695424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264CC"/>
    <w:rsid w:val="00041520"/>
    <w:rsid w:val="00043A65"/>
    <w:rsid w:val="00071DE6"/>
    <w:rsid w:val="00075202"/>
    <w:rsid w:val="0008483B"/>
    <w:rsid w:val="00086658"/>
    <w:rsid w:val="00086DEF"/>
    <w:rsid w:val="00087E44"/>
    <w:rsid w:val="0009232C"/>
    <w:rsid w:val="000A5573"/>
    <w:rsid w:val="000A688D"/>
    <w:rsid w:val="000B6E31"/>
    <w:rsid w:val="000C0477"/>
    <w:rsid w:val="000D307B"/>
    <w:rsid w:val="000D6A3A"/>
    <w:rsid w:val="000E4666"/>
    <w:rsid w:val="000F4094"/>
    <w:rsid w:val="000F626D"/>
    <w:rsid w:val="001004FD"/>
    <w:rsid w:val="00117EC6"/>
    <w:rsid w:val="001234DE"/>
    <w:rsid w:val="00124E37"/>
    <w:rsid w:val="00126DC0"/>
    <w:rsid w:val="00140271"/>
    <w:rsid w:val="00143CFA"/>
    <w:rsid w:val="001539F1"/>
    <w:rsid w:val="00154CEB"/>
    <w:rsid w:val="0016136C"/>
    <w:rsid w:val="00163713"/>
    <w:rsid w:val="00170BC2"/>
    <w:rsid w:val="001745EE"/>
    <w:rsid w:val="001952CF"/>
    <w:rsid w:val="00195BC5"/>
    <w:rsid w:val="001A3EA1"/>
    <w:rsid w:val="001B1576"/>
    <w:rsid w:val="001B79B9"/>
    <w:rsid w:val="001D02CA"/>
    <w:rsid w:val="001D1922"/>
    <w:rsid w:val="001D75A9"/>
    <w:rsid w:val="001E49AF"/>
    <w:rsid w:val="001F3B13"/>
    <w:rsid w:val="001F4F7D"/>
    <w:rsid w:val="001F59E3"/>
    <w:rsid w:val="001F7234"/>
    <w:rsid w:val="00202777"/>
    <w:rsid w:val="0020482A"/>
    <w:rsid w:val="00205F69"/>
    <w:rsid w:val="0020680C"/>
    <w:rsid w:val="00207284"/>
    <w:rsid w:val="00210CDD"/>
    <w:rsid w:val="00211908"/>
    <w:rsid w:val="00211982"/>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6930"/>
    <w:rsid w:val="002D7A77"/>
    <w:rsid w:val="002E13C1"/>
    <w:rsid w:val="002E6D27"/>
    <w:rsid w:val="002E73B9"/>
    <w:rsid w:val="002E7F19"/>
    <w:rsid w:val="002F162D"/>
    <w:rsid w:val="002F1B64"/>
    <w:rsid w:val="002F5EFD"/>
    <w:rsid w:val="002F783D"/>
    <w:rsid w:val="0031161F"/>
    <w:rsid w:val="00327E68"/>
    <w:rsid w:val="00330BA3"/>
    <w:rsid w:val="00333246"/>
    <w:rsid w:val="00333EF6"/>
    <w:rsid w:val="0033481C"/>
    <w:rsid w:val="00335DCF"/>
    <w:rsid w:val="003367CE"/>
    <w:rsid w:val="00336FB2"/>
    <w:rsid w:val="00337786"/>
    <w:rsid w:val="003415E1"/>
    <w:rsid w:val="00341D29"/>
    <w:rsid w:val="00345D38"/>
    <w:rsid w:val="00353B58"/>
    <w:rsid w:val="003563BE"/>
    <w:rsid w:val="00356B3B"/>
    <w:rsid w:val="0036158E"/>
    <w:rsid w:val="0036574C"/>
    <w:rsid w:val="00370FE9"/>
    <w:rsid w:val="00374288"/>
    <w:rsid w:val="003A07B5"/>
    <w:rsid w:val="003A568B"/>
    <w:rsid w:val="003A6810"/>
    <w:rsid w:val="003C4DD9"/>
    <w:rsid w:val="003C50BE"/>
    <w:rsid w:val="003D0D7A"/>
    <w:rsid w:val="003D7DC6"/>
    <w:rsid w:val="003E270A"/>
    <w:rsid w:val="003E3208"/>
    <w:rsid w:val="003E4BDA"/>
    <w:rsid w:val="003E5126"/>
    <w:rsid w:val="003F422C"/>
    <w:rsid w:val="004024EB"/>
    <w:rsid w:val="00407042"/>
    <w:rsid w:val="00414CCC"/>
    <w:rsid w:val="0041647A"/>
    <w:rsid w:val="00421694"/>
    <w:rsid w:val="00435B04"/>
    <w:rsid w:val="00436ACD"/>
    <w:rsid w:val="00441CA7"/>
    <w:rsid w:val="004506C3"/>
    <w:rsid w:val="0045082C"/>
    <w:rsid w:val="00455C8B"/>
    <w:rsid w:val="00472E44"/>
    <w:rsid w:val="00472F2F"/>
    <w:rsid w:val="0047665A"/>
    <w:rsid w:val="0048109E"/>
    <w:rsid w:val="00495886"/>
    <w:rsid w:val="004A33FE"/>
    <w:rsid w:val="004A3571"/>
    <w:rsid w:val="004B06FD"/>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4F8B"/>
    <w:rsid w:val="005164D3"/>
    <w:rsid w:val="0051785D"/>
    <w:rsid w:val="005203A3"/>
    <w:rsid w:val="005359D2"/>
    <w:rsid w:val="0054348B"/>
    <w:rsid w:val="005460B1"/>
    <w:rsid w:val="00557544"/>
    <w:rsid w:val="00560FDF"/>
    <w:rsid w:val="00567D0D"/>
    <w:rsid w:val="00572C47"/>
    <w:rsid w:val="0057658E"/>
    <w:rsid w:val="00576C5D"/>
    <w:rsid w:val="005830B0"/>
    <w:rsid w:val="005848E1"/>
    <w:rsid w:val="005902B8"/>
    <w:rsid w:val="005B341E"/>
    <w:rsid w:val="005B4545"/>
    <w:rsid w:val="005D565A"/>
    <w:rsid w:val="005F1A82"/>
    <w:rsid w:val="005F2F6A"/>
    <w:rsid w:val="00606EC1"/>
    <w:rsid w:val="00615C52"/>
    <w:rsid w:val="00625598"/>
    <w:rsid w:val="00630129"/>
    <w:rsid w:val="0063062B"/>
    <w:rsid w:val="00636640"/>
    <w:rsid w:val="00654C59"/>
    <w:rsid w:val="006640F3"/>
    <w:rsid w:val="00665481"/>
    <w:rsid w:val="00691602"/>
    <w:rsid w:val="00691EF3"/>
    <w:rsid w:val="00692C91"/>
    <w:rsid w:val="006A18B7"/>
    <w:rsid w:val="006A5650"/>
    <w:rsid w:val="006A69AD"/>
    <w:rsid w:val="006B26D5"/>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31486"/>
    <w:rsid w:val="0073714D"/>
    <w:rsid w:val="00756586"/>
    <w:rsid w:val="00760078"/>
    <w:rsid w:val="00773CCB"/>
    <w:rsid w:val="0077692F"/>
    <w:rsid w:val="00783B7F"/>
    <w:rsid w:val="007857C7"/>
    <w:rsid w:val="007913FA"/>
    <w:rsid w:val="00797504"/>
    <w:rsid w:val="00797689"/>
    <w:rsid w:val="007977EC"/>
    <w:rsid w:val="0079791B"/>
    <w:rsid w:val="007A35B2"/>
    <w:rsid w:val="007A52EF"/>
    <w:rsid w:val="007B1454"/>
    <w:rsid w:val="007B7260"/>
    <w:rsid w:val="007C15D1"/>
    <w:rsid w:val="007D2AFD"/>
    <w:rsid w:val="007D7FA8"/>
    <w:rsid w:val="007E02FA"/>
    <w:rsid w:val="00806194"/>
    <w:rsid w:val="0080796C"/>
    <w:rsid w:val="00812BF0"/>
    <w:rsid w:val="00820668"/>
    <w:rsid w:val="008240B3"/>
    <w:rsid w:val="008271C7"/>
    <w:rsid w:val="008278FE"/>
    <w:rsid w:val="00836BC0"/>
    <w:rsid w:val="0084449A"/>
    <w:rsid w:val="008470B4"/>
    <w:rsid w:val="00847DB3"/>
    <w:rsid w:val="00850C37"/>
    <w:rsid w:val="008516AF"/>
    <w:rsid w:val="00864115"/>
    <w:rsid w:val="0086453F"/>
    <w:rsid w:val="00885A9A"/>
    <w:rsid w:val="0088703B"/>
    <w:rsid w:val="008878BB"/>
    <w:rsid w:val="00890AFC"/>
    <w:rsid w:val="00893213"/>
    <w:rsid w:val="008B3C6C"/>
    <w:rsid w:val="008B4EE1"/>
    <w:rsid w:val="008B651A"/>
    <w:rsid w:val="008C3042"/>
    <w:rsid w:val="008D1B9B"/>
    <w:rsid w:val="008D600D"/>
    <w:rsid w:val="008E1990"/>
    <w:rsid w:val="008E1BA1"/>
    <w:rsid w:val="008E287B"/>
    <w:rsid w:val="008E782A"/>
    <w:rsid w:val="008F0293"/>
    <w:rsid w:val="008F28CD"/>
    <w:rsid w:val="008F4EA4"/>
    <w:rsid w:val="00902302"/>
    <w:rsid w:val="009034B5"/>
    <w:rsid w:val="00920C44"/>
    <w:rsid w:val="009453CC"/>
    <w:rsid w:val="00945744"/>
    <w:rsid w:val="009529CF"/>
    <w:rsid w:val="0095354B"/>
    <w:rsid w:val="00964A69"/>
    <w:rsid w:val="009717A2"/>
    <w:rsid w:val="0097294C"/>
    <w:rsid w:val="00974BC6"/>
    <w:rsid w:val="009750D0"/>
    <w:rsid w:val="009863D0"/>
    <w:rsid w:val="00987547"/>
    <w:rsid w:val="0099180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3535"/>
    <w:rsid w:val="009F2809"/>
    <w:rsid w:val="009F39AB"/>
    <w:rsid w:val="009F5EF8"/>
    <w:rsid w:val="00A13EA8"/>
    <w:rsid w:val="00A13F94"/>
    <w:rsid w:val="00A204E1"/>
    <w:rsid w:val="00A25F07"/>
    <w:rsid w:val="00A31A6D"/>
    <w:rsid w:val="00A37E65"/>
    <w:rsid w:val="00A40889"/>
    <w:rsid w:val="00A47F55"/>
    <w:rsid w:val="00A5167D"/>
    <w:rsid w:val="00A5441B"/>
    <w:rsid w:val="00A56AE8"/>
    <w:rsid w:val="00A57554"/>
    <w:rsid w:val="00A57862"/>
    <w:rsid w:val="00A606B7"/>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2843"/>
    <w:rsid w:val="00B34443"/>
    <w:rsid w:val="00B44160"/>
    <w:rsid w:val="00B50175"/>
    <w:rsid w:val="00B5103A"/>
    <w:rsid w:val="00B6674F"/>
    <w:rsid w:val="00B67328"/>
    <w:rsid w:val="00B678A8"/>
    <w:rsid w:val="00B7510A"/>
    <w:rsid w:val="00B80AD2"/>
    <w:rsid w:val="00B85059"/>
    <w:rsid w:val="00B9196D"/>
    <w:rsid w:val="00B924F7"/>
    <w:rsid w:val="00BA13C5"/>
    <w:rsid w:val="00BA18B5"/>
    <w:rsid w:val="00BA532C"/>
    <w:rsid w:val="00BA5ECE"/>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41EE3"/>
    <w:rsid w:val="00D460FA"/>
    <w:rsid w:val="00D56182"/>
    <w:rsid w:val="00D7033A"/>
    <w:rsid w:val="00D720C9"/>
    <w:rsid w:val="00D7791B"/>
    <w:rsid w:val="00D8316D"/>
    <w:rsid w:val="00D84B5A"/>
    <w:rsid w:val="00D95F8E"/>
    <w:rsid w:val="00D97AB0"/>
    <w:rsid w:val="00DA5DC6"/>
    <w:rsid w:val="00DA5E4A"/>
    <w:rsid w:val="00DA655C"/>
    <w:rsid w:val="00DA7E82"/>
    <w:rsid w:val="00DB3E1E"/>
    <w:rsid w:val="00DC41F0"/>
    <w:rsid w:val="00DC453B"/>
    <w:rsid w:val="00DD2066"/>
    <w:rsid w:val="00DD3C0C"/>
    <w:rsid w:val="00DD510A"/>
    <w:rsid w:val="00DE1C53"/>
    <w:rsid w:val="00DE374B"/>
    <w:rsid w:val="00DE6829"/>
    <w:rsid w:val="00E02E43"/>
    <w:rsid w:val="00E2140E"/>
    <w:rsid w:val="00E23B49"/>
    <w:rsid w:val="00E264C1"/>
    <w:rsid w:val="00E32C35"/>
    <w:rsid w:val="00E5002C"/>
    <w:rsid w:val="00E5024A"/>
    <w:rsid w:val="00E54F6B"/>
    <w:rsid w:val="00E564EE"/>
    <w:rsid w:val="00E573DA"/>
    <w:rsid w:val="00E65736"/>
    <w:rsid w:val="00E873EB"/>
    <w:rsid w:val="00E90B83"/>
    <w:rsid w:val="00E92FC8"/>
    <w:rsid w:val="00E952F1"/>
    <w:rsid w:val="00E97E52"/>
    <w:rsid w:val="00EA3BD2"/>
    <w:rsid w:val="00EC5DBC"/>
    <w:rsid w:val="00EC72CE"/>
    <w:rsid w:val="00ED1835"/>
    <w:rsid w:val="00ED3D95"/>
    <w:rsid w:val="00ED704A"/>
    <w:rsid w:val="00ED71E6"/>
    <w:rsid w:val="00EE16A7"/>
    <w:rsid w:val="00EE3EC4"/>
    <w:rsid w:val="00EF151E"/>
    <w:rsid w:val="00F002F4"/>
    <w:rsid w:val="00F252C2"/>
    <w:rsid w:val="00F45DB9"/>
    <w:rsid w:val="00F46B7E"/>
    <w:rsid w:val="00F53D6F"/>
    <w:rsid w:val="00F634EB"/>
    <w:rsid w:val="00F659B7"/>
    <w:rsid w:val="00F66150"/>
    <w:rsid w:val="00F6792B"/>
    <w:rsid w:val="00F87046"/>
    <w:rsid w:val="00FA07E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311761845">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FB02F-07A5-4090-9251-693D76B4E928}"/>
</file>

<file path=customXml/itemProps2.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3.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4.xml><?xml version="1.0" encoding="utf-8"?>
<ds:datastoreItem xmlns:ds="http://schemas.openxmlformats.org/officeDocument/2006/customXml" ds:itemID="{D37B7124-1188-4446-98B3-DA10B113C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Zulma Patricia Gonzalez Muñoz</cp:lastModifiedBy>
  <cp:revision>4</cp:revision>
  <cp:lastPrinted>2024-02-12T21:20:00Z</cp:lastPrinted>
  <dcterms:created xsi:type="dcterms:W3CDTF">2025-03-14T14:45:00Z</dcterms:created>
  <dcterms:modified xsi:type="dcterms:W3CDTF">2025-03-14T14:53:00Z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2025-03-13T20:22:14Z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5b35fc9d-f269-4374-9982-b9fa70eb9bfe</vt:lpwstr>
  </property>
  <property fmtid="{D5CDD505-2E9C-101B-9397-08002B2CF9AE}" pid="9" name="MSIP_Label_381de9b9-fa69-44b3-a963-8b12822733d4_ContentBits">
    <vt:lpwstr>0</vt:lpwstr>
  </property>
  <property fmtid="{D5CDD505-2E9C-101B-9397-08002B2CF9AE}" pid="10" name="MSIP_Label_381de9b9-fa69-44b3-a963-8b12822733d4_Tag">
    <vt:lpwstr>10, 0, 1, 1</vt:lpwstr>
  </property>
</Properties>
</file>