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1DC1CA3C"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0A6A5D">
              <w:rPr>
                <w:rFonts w:cs="Arial"/>
                <w:sz w:val="24"/>
                <w:szCs w:val="24"/>
              </w:rPr>
              <w:t>abril 23</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5350EA85"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Acuerdo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0A6A5D">
              <w:rPr>
                <w:rFonts w:cs="Arial"/>
                <w:sz w:val="24"/>
                <w:szCs w:val="24"/>
                <w:lang w:val="es-ES_tradnl"/>
              </w:rPr>
              <w:t>8</w:t>
            </w:r>
            <w:r w:rsidR="009F39AB" w:rsidRPr="00495886">
              <w:rPr>
                <w:rFonts w:cs="Arial"/>
                <w:sz w:val="24"/>
                <w:szCs w:val="24"/>
                <w:lang w:val="es-ES_tradnl"/>
              </w:rPr>
              <w:t xml:space="preserve">. </w:t>
            </w:r>
          </w:p>
        </w:tc>
      </w:tr>
      <w:tr w:rsidR="00FF1E8D" w:rsidRPr="001234DE" w14:paraId="2EEBFAC1" w14:textId="77777777" w:rsidTr="009C2732">
        <w:trPr>
          <w:trHeight w:val="744"/>
        </w:trPr>
        <w:tc>
          <w:tcPr>
            <w:tcW w:w="8977" w:type="dxa"/>
          </w:tcPr>
          <w:p w14:paraId="5D2D5392" w14:textId="43218AD2" w:rsidR="009C2732" w:rsidRPr="001234DE" w:rsidRDefault="00A56AE8" w:rsidP="005F1A82">
            <w:pPr>
              <w:jc w:val="both"/>
              <w:rPr>
                <w:rFonts w:cs="Arial"/>
                <w:sz w:val="24"/>
                <w:szCs w:val="24"/>
              </w:rPr>
            </w:pPr>
            <w:r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p>
        </w:tc>
      </w:tr>
      <w:tr w:rsidR="00FF1E8D" w:rsidRPr="001234DE" w14:paraId="34008CE6" w14:textId="77777777" w:rsidTr="009C2732">
        <w:trPr>
          <w:trHeight w:val="527"/>
        </w:trPr>
        <w:tc>
          <w:tcPr>
            <w:tcW w:w="8977" w:type="dxa"/>
          </w:tcPr>
          <w:p w14:paraId="08AB7051" w14:textId="6E698D20" w:rsidR="004B06FD" w:rsidRPr="001234DE" w:rsidRDefault="00A57862" w:rsidP="005F1A82">
            <w:pPr>
              <w:jc w:val="both"/>
              <w:rPr>
                <w:rFonts w:cs="Arial"/>
                <w:b/>
                <w:sz w:val="24"/>
                <w:szCs w:val="24"/>
              </w:rPr>
            </w:pPr>
            <w:r w:rsidRPr="001234DE">
              <w:rPr>
                <w:rFonts w:cs="Arial"/>
                <w:b/>
                <w:bCs/>
                <w:sz w:val="24"/>
                <w:szCs w:val="24"/>
              </w:rPr>
              <w:t xml:space="preserve">Vigencia de la norma reglamentada o desarrollada: </w:t>
            </w:r>
            <w:r w:rsidR="000A6A5D" w:rsidRPr="00786BF0">
              <w:rPr>
                <w:rFonts w:cs="Arial"/>
                <w:color w:val="0070C0"/>
              </w:rPr>
              <w:t xml:space="preserve"> </w:t>
            </w:r>
            <w:r w:rsidR="000A6A5D" w:rsidRPr="00432EB1">
              <w:rPr>
                <w:rFonts w:cs="Arial"/>
                <w:sz w:val="24"/>
                <w:szCs w:val="24"/>
              </w:rPr>
              <w:t>El Acta que  aprueba el reglamento en Sesión Ordinaria de Junta Directiva 1010 del 25 de marzo de 2025,</w:t>
            </w:r>
            <w:r w:rsidR="000A6A5D">
              <w:rPr>
                <w:rFonts w:cs="Arial"/>
                <w:color w:val="0070C0"/>
              </w:rPr>
              <w:t xml:space="preserve"> </w:t>
            </w:r>
            <w:r w:rsidR="00C06E3A">
              <w:rPr>
                <w:rFonts w:cs="Arial"/>
                <w:sz w:val="24"/>
                <w:szCs w:val="24"/>
              </w:rPr>
              <w:t>empezará</w:t>
            </w:r>
            <w:r w:rsidR="003E4BDA">
              <w:rPr>
                <w:rFonts w:cs="Arial"/>
                <w:sz w:val="24"/>
                <w:szCs w:val="24"/>
              </w:rPr>
              <w:t xml:space="preserve"> a </w:t>
            </w:r>
            <w:r w:rsidR="003E4BDA" w:rsidRPr="003E4BDA">
              <w:rPr>
                <w:rFonts w:cs="Arial"/>
                <w:sz w:val="24"/>
                <w:szCs w:val="24"/>
              </w:rPr>
              <w:t>r</w:t>
            </w:r>
            <w:r w:rsidR="003E4BDA">
              <w:rPr>
                <w:rFonts w:cs="Arial"/>
                <w:sz w:val="24"/>
                <w:szCs w:val="24"/>
              </w:rPr>
              <w:t>e</w:t>
            </w:r>
            <w:r w:rsidR="003E4BDA" w:rsidRPr="003E4BDA">
              <w:rPr>
                <w:rFonts w:cs="Arial"/>
                <w:sz w:val="24"/>
                <w:szCs w:val="24"/>
              </w:rPr>
              <w:t>g</w:t>
            </w:r>
            <w:r w:rsidR="003E4BDA">
              <w:rPr>
                <w:rFonts w:cs="Arial"/>
                <w:sz w:val="24"/>
                <w:szCs w:val="24"/>
              </w:rPr>
              <w:t>ir</w:t>
            </w:r>
            <w:r w:rsidR="003E4BDA" w:rsidRPr="003E4BDA">
              <w:rPr>
                <w:rFonts w:cs="Arial"/>
                <w:sz w:val="24"/>
                <w:szCs w:val="24"/>
              </w:rPr>
              <w:t xml:space="preserve"> a partir de su publicación</w:t>
            </w:r>
            <w:r w:rsidR="003E4BDA">
              <w:rPr>
                <w:rFonts w:cs="Arial"/>
                <w:sz w:val="24"/>
                <w:szCs w:val="24"/>
              </w:rPr>
              <w:t>,</w:t>
            </w:r>
            <w:r w:rsidR="003E4BDA" w:rsidRPr="003E4BDA">
              <w:rPr>
                <w:rFonts w:cs="Arial"/>
                <w:sz w:val="24"/>
                <w:szCs w:val="24"/>
              </w:rPr>
              <w:t xml:space="preserve"> salvo el capítulo 4 “Crédito Educativo AVC y Cesantías</w:t>
            </w:r>
            <w:r w:rsidR="003E4BDA">
              <w:rPr>
                <w:rFonts w:cs="Arial"/>
                <w:sz w:val="24"/>
                <w:szCs w:val="24"/>
              </w:rPr>
              <w:t>”</w:t>
            </w:r>
            <w:r w:rsidR="003E4BDA" w:rsidRPr="003E4BDA">
              <w:rPr>
                <w:rFonts w:cs="Arial"/>
                <w:sz w:val="24"/>
                <w:szCs w:val="24"/>
              </w:rPr>
              <w:t>,</w:t>
            </w:r>
            <w:r w:rsidR="003E4BDA">
              <w:rPr>
                <w:rFonts w:cs="Arial"/>
                <w:sz w:val="24"/>
                <w:szCs w:val="24"/>
              </w:rPr>
              <w:t xml:space="preserve"> que entrará en operación por desarrollos tecnológicos </w:t>
            </w:r>
            <w:r w:rsidR="003E4BDA" w:rsidRPr="003E4BDA">
              <w:rPr>
                <w:rFonts w:cs="Arial"/>
                <w:sz w:val="24"/>
                <w:szCs w:val="24"/>
              </w:rPr>
              <w:t>a más tarda</w:t>
            </w:r>
            <w:r w:rsidR="003E4BDA">
              <w:rPr>
                <w:rFonts w:cs="Arial"/>
                <w:sz w:val="24"/>
                <w:szCs w:val="24"/>
              </w:rPr>
              <w:t>r</w:t>
            </w:r>
            <w:r w:rsidR="003E4BDA" w:rsidRPr="003E4BDA">
              <w:rPr>
                <w:rFonts w:cs="Arial"/>
                <w:sz w:val="24"/>
                <w:szCs w:val="24"/>
              </w:rPr>
              <w:t xml:space="preserve"> el 31 de julio de 2025</w:t>
            </w:r>
            <w:r w:rsidR="00DE1C53">
              <w:rPr>
                <w:rFonts w:cs="Arial"/>
                <w:sz w:val="24"/>
                <w:szCs w:val="24"/>
              </w:rPr>
              <w:t xml:space="preserve"> y el</w:t>
            </w:r>
            <w:r w:rsidR="00DE1C53">
              <w:rPr>
                <w:rFonts w:ascii="DIN 2014" w:hAnsi="DIN 2014"/>
              </w:rPr>
              <w:t xml:space="preserve"> </w:t>
            </w:r>
            <w:r w:rsidR="00DE1C53" w:rsidRPr="00DE1C53">
              <w:rPr>
                <w:rFonts w:cs="Arial"/>
                <w:sz w:val="24"/>
                <w:szCs w:val="24"/>
              </w:rPr>
              <w:t>numeral 5.4.2 Pagos a Capital a Prorrata</w:t>
            </w:r>
            <w:r w:rsidR="000A6A5D">
              <w:rPr>
                <w:rFonts w:cs="Arial"/>
                <w:sz w:val="24"/>
                <w:szCs w:val="24"/>
              </w:rPr>
              <w:t>, e</w:t>
            </w:r>
            <w:r w:rsidR="00DE1C53" w:rsidRPr="00DE1C53">
              <w:rPr>
                <w:rFonts w:cs="Arial"/>
                <w:sz w:val="24"/>
                <w:szCs w:val="24"/>
              </w:rPr>
              <w:t xml:space="preserve">n cuanto al cálculo del mismo </w:t>
            </w:r>
            <w:r w:rsidR="000264CC" w:rsidRPr="00DE1C53">
              <w:rPr>
                <w:rFonts w:cs="Arial"/>
                <w:sz w:val="24"/>
                <w:szCs w:val="24"/>
              </w:rPr>
              <w:t>entrar</w:t>
            </w:r>
            <w:r w:rsidR="000264CC">
              <w:rPr>
                <w:rFonts w:cs="Arial"/>
                <w:sz w:val="24"/>
                <w:szCs w:val="24"/>
              </w:rPr>
              <w:t>á</w:t>
            </w:r>
            <w:r w:rsidR="00DE1C53" w:rsidRPr="00DE1C53">
              <w:rPr>
                <w:rFonts w:cs="Arial"/>
                <w:sz w:val="24"/>
                <w:szCs w:val="24"/>
              </w:rPr>
              <w:t xml:space="preserve"> en operación a más tardar el 3</w:t>
            </w:r>
            <w:r w:rsidR="000A6A5D">
              <w:rPr>
                <w:rFonts w:cs="Arial"/>
                <w:sz w:val="24"/>
                <w:szCs w:val="24"/>
              </w:rPr>
              <w:t>1</w:t>
            </w:r>
            <w:r w:rsidR="00DE1C53" w:rsidRPr="00DE1C53">
              <w:rPr>
                <w:rFonts w:cs="Arial"/>
                <w:sz w:val="24"/>
                <w:szCs w:val="24"/>
              </w:rPr>
              <w:t xml:space="preserve"> de </w:t>
            </w:r>
            <w:r w:rsidR="000A6A5D">
              <w:rPr>
                <w:rFonts w:cs="Arial"/>
                <w:sz w:val="24"/>
                <w:szCs w:val="24"/>
              </w:rPr>
              <w:t>julio</w:t>
            </w:r>
            <w:r w:rsidR="00DE1C53" w:rsidRPr="00DE1C53">
              <w:rPr>
                <w:rFonts w:cs="Arial"/>
                <w:sz w:val="24"/>
                <w:szCs w:val="24"/>
              </w:rPr>
              <w:t xml:space="preserve"> de 2025, o antes si los desarrollos tecnológicos lo permiten.</w:t>
            </w:r>
          </w:p>
        </w:tc>
      </w:tr>
      <w:tr w:rsidR="00FF1E8D" w:rsidRPr="001234DE" w14:paraId="4DFAF129" w14:textId="77777777" w:rsidTr="009C2732">
        <w:trPr>
          <w:trHeight w:val="1085"/>
        </w:trPr>
        <w:tc>
          <w:tcPr>
            <w:tcW w:w="8977" w:type="dxa"/>
          </w:tcPr>
          <w:p w14:paraId="5CE16560" w14:textId="63535249" w:rsidR="00C94E4C" w:rsidRPr="001234DE" w:rsidRDefault="0009232C" w:rsidP="005F1A82">
            <w:pPr>
              <w:jc w:val="both"/>
              <w:rPr>
                <w:rFonts w:cs="Arial"/>
                <w:b/>
                <w:sz w:val="24"/>
                <w:szCs w:val="24"/>
              </w:rPr>
            </w:pPr>
            <w:r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404924" w:rsidRPr="00404924">
              <w:rPr>
                <w:rFonts w:cs="Arial"/>
                <w:sz w:val="24"/>
                <w:szCs w:val="24"/>
              </w:rPr>
              <w:t>D</w:t>
            </w:r>
            <w:r w:rsidR="001745EE" w:rsidRPr="001234DE">
              <w:rPr>
                <w:rFonts w:cs="Arial"/>
                <w:bCs/>
                <w:sz w:val="24"/>
                <w:szCs w:val="24"/>
              </w:rPr>
              <w:t xml:space="preserve">eroga </w:t>
            </w:r>
            <w:r w:rsidR="00432EB1">
              <w:rPr>
                <w:rFonts w:cs="Arial"/>
                <w:bCs/>
                <w:sz w:val="24"/>
                <w:szCs w:val="24"/>
              </w:rPr>
              <w:t xml:space="preserve">el </w:t>
            </w:r>
            <w:r w:rsidR="001745EE" w:rsidRPr="001234DE">
              <w:rPr>
                <w:rFonts w:cs="Arial"/>
                <w:bCs/>
                <w:sz w:val="24"/>
                <w:szCs w:val="24"/>
              </w:rPr>
              <w:t>Ac</w:t>
            </w:r>
            <w:r w:rsidR="00432EB1">
              <w:rPr>
                <w:rFonts w:cs="Arial"/>
                <w:bCs/>
                <w:sz w:val="24"/>
                <w:szCs w:val="24"/>
              </w:rPr>
              <w:t xml:space="preserve">ta </w:t>
            </w:r>
            <w:r w:rsidR="00B31D77">
              <w:rPr>
                <w:rFonts w:cs="Arial"/>
                <w:bCs/>
                <w:sz w:val="24"/>
                <w:szCs w:val="24"/>
              </w:rPr>
              <w:t>de Junta</w:t>
            </w:r>
            <w:r w:rsidR="00432EB1">
              <w:rPr>
                <w:rFonts w:cs="Arial"/>
                <w:bCs/>
                <w:sz w:val="24"/>
                <w:szCs w:val="24"/>
              </w:rPr>
              <w:t xml:space="preserve"> Directiva </w:t>
            </w:r>
            <w:r w:rsidR="001745EE" w:rsidRPr="001234DE">
              <w:rPr>
                <w:rFonts w:cs="Arial"/>
                <w:bCs/>
                <w:sz w:val="24"/>
                <w:szCs w:val="24"/>
              </w:rPr>
              <w:t>d</w:t>
            </w:r>
            <w:r w:rsidR="008310B7">
              <w:rPr>
                <w:rFonts w:cs="Arial"/>
                <w:bCs/>
                <w:sz w:val="24"/>
                <w:szCs w:val="24"/>
              </w:rPr>
              <w:t xml:space="preserve">el mes de abril </w:t>
            </w:r>
            <w:r w:rsidR="00BA3872">
              <w:rPr>
                <w:rFonts w:cs="Arial"/>
                <w:bCs/>
                <w:sz w:val="24"/>
                <w:szCs w:val="24"/>
              </w:rPr>
              <w:t>2025 sesión</w:t>
            </w:r>
            <w:r w:rsidR="008310B7">
              <w:rPr>
                <w:rFonts w:cs="Arial"/>
                <w:bCs/>
                <w:sz w:val="24"/>
                <w:szCs w:val="24"/>
              </w:rPr>
              <w:t xml:space="preserve"> 1010</w:t>
            </w:r>
            <w:r w:rsidR="00BA3872">
              <w:rPr>
                <w:rFonts w:cs="Arial"/>
                <w:bCs/>
                <w:sz w:val="24"/>
                <w:szCs w:val="24"/>
              </w:rPr>
              <w:t>,</w:t>
            </w:r>
            <w:r w:rsidR="001745EE" w:rsidRPr="001234DE">
              <w:rPr>
                <w:rFonts w:cs="Arial"/>
                <w:bCs/>
                <w:sz w:val="24"/>
                <w:szCs w:val="24"/>
              </w:rPr>
              <w:t xml:space="preserve"> por medio del cual se adopta la Versión </w:t>
            </w:r>
            <w:r w:rsidR="008310B7">
              <w:rPr>
                <w:rFonts w:cs="Arial"/>
                <w:bCs/>
                <w:sz w:val="24"/>
                <w:szCs w:val="24"/>
              </w:rPr>
              <w:t>7</w:t>
            </w:r>
            <w:r w:rsidR="00140271" w:rsidRPr="001234DE">
              <w:rPr>
                <w:rFonts w:cs="Arial"/>
                <w:bCs/>
                <w:sz w:val="24"/>
                <w:szCs w:val="24"/>
              </w:rPr>
              <w:t xml:space="preserve"> </w:t>
            </w:r>
            <w:r w:rsidR="001745EE" w:rsidRPr="001234DE">
              <w:rPr>
                <w:rFonts w:cs="Arial"/>
                <w:bCs/>
                <w:sz w:val="24"/>
                <w:szCs w:val="24"/>
              </w:rPr>
              <w:t xml:space="preserve">del </w:t>
            </w:r>
            <w:r w:rsidR="001745EE" w:rsidRPr="001234DE">
              <w:rPr>
                <w:rFonts w:cs="Arial"/>
                <w:iCs/>
                <w:sz w:val="24"/>
                <w:szCs w:val="24"/>
              </w:rPr>
              <w:t>Reglamento de Crédito y Leasing Habitacional</w:t>
            </w:r>
            <w:r w:rsidR="00BA3872">
              <w:rPr>
                <w:rFonts w:cs="Arial"/>
                <w:iCs/>
                <w:sz w:val="24"/>
                <w:szCs w:val="24"/>
              </w:rPr>
              <w:t>.</w:t>
            </w:r>
            <w:r w:rsidR="001745EE" w:rsidRPr="001234DE">
              <w:rPr>
                <w:rFonts w:cs="Arial"/>
                <w:iCs/>
                <w:sz w:val="24"/>
                <w:szCs w:val="24"/>
              </w:rPr>
              <w:t xml:space="preserve"> </w:t>
            </w:r>
            <w:r w:rsidR="00BA3872" w:rsidRPr="00BA3872">
              <w:rPr>
                <w:rFonts w:cs="Arial"/>
                <w:iCs/>
                <w:sz w:val="24"/>
                <w:szCs w:val="24"/>
              </w:rPr>
              <w:t>La nueva versión rige a partir de su publicación.  No obstante, lo anterior el   Capítulo 4o “Crédito Educativo AVC y Cesantías", y el numeral 5.4.2 "Pagos a Capital a Prorrata" regirán a partir del 31 de julio de 2025, o antes si los desarrollos tecnológicos lo permiten.</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0A6A5D" w:rsidRDefault="00AB253B" w:rsidP="00AB253B">
            <w:pPr>
              <w:jc w:val="both"/>
              <w:rPr>
                <w:rFonts w:cs="Arial"/>
                <w:sz w:val="24"/>
                <w:szCs w:val="24"/>
              </w:rPr>
            </w:pPr>
          </w:p>
          <w:p w14:paraId="16D6C2FC" w14:textId="77777777" w:rsidR="000A6A5D" w:rsidRPr="008310B7" w:rsidRDefault="000A6A5D" w:rsidP="000A6A5D">
            <w:pPr>
              <w:autoSpaceDE w:val="0"/>
              <w:autoSpaceDN w:val="0"/>
              <w:adjustRightInd w:val="0"/>
              <w:ind w:left="26" w:hanging="26"/>
              <w:jc w:val="both"/>
              <w:rPr>
                <w:rFonts w:cs="Arial"/>
                <w:sz w:val="24"/>
                <w:szCs w:val="24"/>
              </w:rPr>
            </w:pPr>
            <w:r w:rsidRPr="000A6A5D">
              <w:t xml:space="preserve">A </w:t>
            </w:r>
            <w:r w:rsidRPr="008310B7">
              <w:rPr>
                <w:rFonts w:cs="Arial"/>
                <w:sz w:val="24"/>
                <w:szCs w:val="24"/>
              </w:rPr>
              <w:t xml:space="preserve">continuación, se relaciona el cambio realizado en el numeral </w:t>
            </w:r>
            <w:bookmarkStart w:id="0" w:name="_Hlk196300176"/>
            <w:r w:rsidRPr="008310B7">
              <w:rPr>
                <w:rFonts w:cs="Arial"/>
                <w:sz w:val="24"/>
                <w:szCs w:val="24"/>
              </w:rPr>
              <w:t>5.4.2 "Pagos a Capital a Prorrata</w:t>
            </w:r>
            <w:bookmarkEnd w:id="0"/>
            <w:r w:rsidRPr="008310B7">
              <w:rPr>
                <w:rFonts w:cs="Arial"/>
                <w:sz w:val="24"/>
                <w:szCs w:val="24"/>
              </w:rPr>
              <w:t>" del Reglamento de Crédito y Leasing Habitacional, cuya entrada en vigor estaba prevista para el 30 de abril de 2025, conforme a lo establecido en la versión 6 - Acuerdo 2605 del reglamento, o con anterioridad si las condiciones tecnológicas lo permitían, modificará su fecha de vigencia.</w:t>
            </w:r>
          </w:p>
          <w:p w14:paraId="48030B3F" w14:textId="77777777" w:rsidR="000A6A5D" w:rsidRPr="008310B7" w:rsidRDefault="000A6A5D" w:rsidP="000A6A5D">
            <w:pPr>
              <w:autoSpaceDE w:val="0"/>
              <w:autoSpaceDN w:val="0"/>
              <w:adjustRightInd w:val="0"/>
              <w:ind w:left="26" w:hanging="26"/>
              <w:jc w:val="both"/>
              <w:rPr>
                <w:rFonts w:cs="Arial"/>
                <w:sz w:val="24"/>
                <w:szCs w:val="24"/>
              </w:rPr>
            </w:pPr>
          </w:p>
          <w:p w14:paraId="37D35797" w14:textId="7F0268DD" w:rsidR="000A6A5D" w:rsidRPr="008310B7" w:rsidRDefault="000A6A5D" w:rsidP="000A6A5D">
            <w:pPr>
              <w:autoSpaceDE w:val="0"/>
              <w:autoSpaceDN w:val="0"/>
              <w:adjustRightInd w:val="0"/>
              <w:ind w:hanging="26"/>
              <w:jc w:val="both"/>
              <w:rPr>
                <w:rFonts w:cs="Arial"/>
                <w:sz w:val="24"/>
                <w:szCs w:val="24"/>
              </w:rPr>
            </w:pPr>
            <w:r w:rsidRPr="008310B7">
              <w:rPr>
                <w:rFonts w:cs="Arial"/>
                <w:sz w:val="24"/>
                <w:szCs w:val="24"/>
              </w:rPr>
              <w:t>Debido a la alta complejidad asociada a los desarrollos tecnológicos requeridos para su adecuada implementación, se amplía el plazo para su entrada en vigor hasta el 31 de julio de 2025, o en una fecha anterior si se cuenta con la viabilidad técnica correspondiente.</w:t>
            </w:r>
          </w:p>
          <w:p w14:paraId="28F7B518" w14:textId="53A6D284" w:rsidR="00C7549E" w:rsidRPr="008310B7" w:rsidRDefault="000A6A5D" w:rsidP="000A6A5D">
            <w:pPr>
              <w:jc w:val="both"/>
              <w:rPr>
                <w:rFonts w:cs="Arial"/>
                <w:sz w:val="24"/>
                <w:szCs w:val="24"/>
              </w:rPr>
            </w:pPr>
            <w:r w:rsidRPr="008310B7">
              <w:rPr>
                <w:rFonts w:cs="Arial"/>
                <w:sz w:val="24"/>
                <w:szCs w:val="24"/>
              </w:rPr>
              <w:lastRenderedPageBreak/>
              <w:br/>
              <w:t xml:space="preserve">De igual manera, se establece que el Capítulo 4° “Crédito Educativo AVC y Cesantías” entrará en vigencia a partir del 31 de julio de 2025, o antes si las condiciones tecnológicas así lo </w:t>
            </w:r>
            <w:proofErr w:type="gramStart"/>
            <w:r w:rsidRPr="008310B7">
              <w:rPr>
                <w:rFonts w:cs="Arial"/>
                <w:sz w:val="24"/>
                <w:szCs w:val="24"/>
              </w:rPr>
              <w:t>permiten</w:t>
            </w:r>
            <w:r w:rsidR="00DE1C53" w:rsidRPr="008310B7">
              <w:rPr>
                <w:rFonts w:cs="Arial"/>
                <w:sz w:val="24"/>
                <w:szCs w:val="24"/>
              </w:rPr>
              <w:t xml:space="preserve"> </w:t>
            </w:r>
            <w:r w:rsidRPr="008310B7">
              <w:rPr>
                <w:rFonts w:cs="Arial"/>
                <w:sz w:val="24"/>
                <w:szCs w:val="24"/>
              </w:rPr>
              <w:t>.</w:t>
            </w:r>
            <w:proofErr w:type="gramEnd"/>
          </w:p>
          <w:p w14:paraId="536F16BA" w14:textId="77777777" w:rsidR="000A6A5D" w:rsidRPr="008310B7" w:rsidRDefault="000A6A5D" w:rsidP="000A6A5D">
            <w:pPr>
              <w:jc w:val="both"/>
              <w:rPr>
                <w:rFonts w:cs="Arial"/>
                <w:sz w:val="24"/>
                <w:szCs w:val="24"/>
              </w:rPr>
            </w:pPr>
          </w:p>
          <w:p w14:paraId="7555377C" w14:textId="77777777" w:rsidR="000A6A5D" w:rsidRPr="00C7549E" w:rsidRDefault="000A6A5D" w:rsidP="000A6A5D">
            <w:pPr>
              <w:jc w:val="both"/>
              <w:rPr>
                <w:rFonts w:cs="Arial"/>
                <w:iCs/>
                <w:sz w:val="24"/>
                <w:szCs w:val="24"/>
              </w:rPr>
            </w:pPr>
          </w:p>
          <w:p w14:paraId="2B1BB513" w14:textId="10AEBB31"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 xml:space="preserve">los afiliados del Fondo Nacional del Ahorro S.A. </w:t>
            </w:r>
            <w:r w:rsidR="003A6810" w:rsidRPr="00DA655C">
              <w:rPr>
                <w:rFonts w:cs="Arial"/>
                <w:sz w:val="24"/>
                <w:szCs w:val="24"/>
              </w:rPr>
              <w:t>y usuarios de Crédito Hipotecario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5C6468AC" w14:textId="201AF3A4" w:rsidR="00E264C1" w:rsidRPr="00ED1835" w:rsidRDefault="00AA6BD0" w:rsidP="006640F3">
            <w:pPr>
              <w:rPr>
                <w:rFonts w:cs="Arial"/>
                <w:bCs/>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6640F3">
              <w:rPr>
                <w:sz w:val="24"/>
                <w:szCs w:val="24"/>
              </w:rPr>
              <w:t xml:space="preserve"> </w:t>
            </w:r>
            <w:r w:rsidR="000264CC">
              <w:rPr>
                <w:sz w:val="24"/>
                <w:szCs w:val="24"/>
              </w:rPr>
              <w:t xml:space="preserve">No aplica </w:t>
            </w:r>
          </w:p>
          <w:p w14:paraId="13AB308D" w14:textId="77777777" w:rsidR="00974BC6" w:rsidRPr="001234DE" w:rsidRDefault="00974BC6" w:rsidP="009C2732">
            <w:pPr>
              <w:rPr>
                <w:rFonts w:cs="Arial"/>
                <w:sz w:val="24"/>
                <w:szCs w:val="24"/>
              </w:rPr>
            </w:pP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12ED8A02"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432EB1">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432EB1">
              <w:rPr>
                <w:rFonts w:cs="Arial"/>
                <w:sz w:val="24"/>
                <w:szCs w:val="24"/>
              </w:rPr>
              <w:t xml:space="preserve">      </w:t>
            </w:r>
            <w:r w:rsidR="00F46B7E" w:rsidRPr="001234DE">
              <w:rPr>
                <w:rFonts w:cs="Arial"/>
                <w:sz w:val="24"/>
                <w:szCs w:val="24"/>
              </w:rPr>
              <w:t xml:space="preserve">  </w:t>
            </w:r>
            <w:proofErr w:type="gramStart"/>
            <w:r w:rsidR="00210CDD" w:rsidRPr="001234DE">
              <w:rPr>
                <w:rFonts w:cs="Arial"/>
                <w:sz w:val="24"/>
                <w:szCs w:val="24"/>
              </w:rPr>
              <w:t xml:space="preserve">de </w:t>
            </w:r>
            <w:r w:rsidR="0041647A">
              <w:rPr>
                <w:rFonts w:cs="Arial"/>
                <w:sz w:val="24"/>
                <w:szCs w:val="24"/>
              </w:rPr>
              <w:t xml:space="preserve"> </w:t>
            </w:r>
            <w:r w:rsidR="00432EB1">
              <w:rPr>
                <w:rFonts w:cs="Arial"/>
                <w:sz w:val="24"/>
                <w:szCs w:val="24"/>
              </w:rPr>
              <w:t>abril</w:t>
            </w:r>
            <w:proofErr w:type="gramEnd"/>
            <w:r w:rsidR="00432EB1">
              <w:rPr>
                <w:rFonts w:cs="Arial"/>
                <w:sz w:val="24"/>
                <w:szCs w:val="24"/>
              </w:rPr>
              <w:t xml:space="preserve"> </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538199CA" w14:textId="77777777" w:rsidR="00163713" w:rsidRPr="001234DE" w:rsidRDefault="00163713" w:rsidP="009C2732">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p w14:paraId="2DF5B38D" w14:textId="77777777" w:rsidR="00FA5FBB" w:rsidRPr="001234DE" w:rsidRDefault="00FA5FBB" w:rsidP="009C2732">
            <w:pPr>
              <w:jc w:val="both"/>
              <w:rPr>
                <w:rFonts w:cs="Arial"/>
                <w:sz w:val="24"/>
                <w:szCs w:val="24"/>
              </w:rPr>
            </w:pPr>
          </w:p>
          <w:p w14:paraId="04DA699E" w14:textId="77777777" w:rsidR="003D7DC6" w:rsidRPr="001234DE" w:rsidRDefault="003D7DC6" w:rsidP="001D02CA">
            <w:pPr>
              <w:jc w:val="both"/>
              <w:rPr>
                <w:rFonts w:cs="Arial"/>
                <w:sz w:val="24"/>
                <w:szCs w:val="24"/>
              </w:rPr>
            </w:pP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017E" w14:textId="77777777" w:rsidR="0054053C" w:rsidRDefault="0054053C" w:rsidP="00143CFA">
      <w:r>
        <w:separator/>
      </w:r>
    </w:p>
  </w:endnote>
  <w:endnote w:type="continuationSeparator" w:id="0">
    <w:p w14:paraId="7BAEB35D" w14:textId="77777777" w:rsidR="0054053C" w:rsidRDefault="0054053C"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2014">
    <w:altName w:val="Calibri"/>
    <w:charset w:val="4D"/>
    <w:family w:val="swiss"/>
    <w:pitch w:val="variable"/>
    <w:sig w:usb0="A00002F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C568" w14:textId="77777777" w:rsidR="0054053C" w:rsidRDefault="0054053C" w:rsidP="00143CFA">
      <w:r>
        <w:separator/>
      </w:r>
    </w:p>
  </w:footnote>
  <w:footnote w:type="continuationSeparator" w:id="0">
    <w:p w14:paraId="06CC557E" w14:textId="77777777" w:rsidR="0054053C" w:rsidRDefault="0054053C"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60B9A085">
          <wp:extent cx="1386859" cy="857129"/>
          <wp:effectExtent l="0" t="0" r="3810"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1609"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7"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0"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7"/>
  </w:num>
  <w:num w:numId="2" w16cid:durableId="1161315707">
    <w:abstractNumId w:val="5"/>
  </w:num>
  <w:num w:numId="3" w16cid:durableId="1079786781">
    <w:abstractNumId w:val="11"/>
  </w:num>
  <w:num w:numId="4" w16cid:durableId="1737513492">
    <w:abstractNumId w:val="1"/>
  </w:num>
  <w:num w:numId="5" w16cid:durableId="1307472083">
    <w:abstractNumId w:val="13"/>
  </w:num>
  <w:num w:numId="6" w16cid:durableId="1789423090">
    <w:abstractNumId w:val="6"/>
  </w:num>
  <w:num w:numId="7" w16cid:durableId="630214083">
    <w:abstractNumId w:val="0"/>
  </w:num>
  <w:num w:numId="8" w16cid:durableId="517812840">
    <w:abstractNumId w:val="4"/>
  </w:num>
  <w:num w:numId="9" w16cid:durableId="209727148">
    <w:abstractNumId w:val="9"/>
  </w:num>
  <w:num w:numId="10" w16cid:durableId="1246190414">
    <w:abstractNumId w:val="2"/>
  </w:num>
  <w:num w:numId="11" w16cid:durableId="321586350">
    <w:abstractNumId w:val="10"/>
  </w:num>
  <w:num w:numId="12" w16cid:durableId="115415875">
    <w:abstractNumId w:val="8"/>
  </w:num>
  <w:num w:numId="13" w16cid:durableId="2055809415">
    <w:abstractNumId w:val="14"/>
  </w:num>
  <w:num w:numId="14" w16cid:durableId="1407607863">
    <w:abstractNumId w:val="3"/>
  </w:num>
  <w:num w:numId="15" w16cid:durableId="1695424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5103"/>
    <w:rsid w:val="00015310"/>
    <w:rsid w:val="00021DC4"/>
    <w:rsid w:val="000264CC"/>
    <w:rsid w:val="00041520"/>
    <w:rsid w:val="00043A65"/>
    <w:rsid w:val="00071D89"/>
    <w:rsid w:val="00071DE6"/>
    <w:rsid w:val="00075202"/>
    <w:rsid w:val="0008483B"/>
    <w:rsid w:val="00086658"/>
    <w:rsid w:val="00086DEF"/>
    <w:rsid w:val="00087E44"/>
    <w:rsid w:val="0009232C"/>
    <w:rsid w:val="000A5573"/>
    <w:rsid w:val="000A688D"/>
    <w:rsid w:val="000A6A5D"/>
    <w:rsid w:val="000B6E31"/>
    <w:rsid w:val="000C0477"/>
    <w:rsid w:val="000D307B"/>
    <w:rsid w:val="000D6A3A"/>
    <w:rsid w:val="000E4666"/>
    <w:rsid w:val="000F4094"/>
    <w:rsid w:val="000F626D"/>
    <w:rsid w:val="001004FD"/>
    <w:rsid w:val="00117EC6"/>
    <w:rsid w:val="001234DE"/>
    <w:rsid w:val="00124E37"/>
    <w:rsid w:val="00126DC0"/>
    <w:rsid w:val="00140271"/>
    <w:rsid w:val="00143CFA"/>
    <w:rsid w:val="001539F1"/>
    <w:rsid w:val="00154CEB"/>
    <w:rsid w:val="0016136C"/>
    <w:rsid w:val="00163713"/>
    <w:rsid w:val="00170BC2"/>
    <w:rsid w:val="001745EE"/>
    <w:rsid w:val="001952CF"/>
    <w:rsid w:val="00195BC5"/>
    <w:rsid w:val="001A3EA1"/>
    <w:rsid w:val="001B1576"/>
    <w:rsid w:val="001B79B9"/>
    <w:rsid w:val="001D02CA"/>
    <w:rsid w:val="001D1922"/>
    <w:rsid w:val="001D75A9"/>
    <w:rsid w:val="001E49AF"/>
    <w:rsid w:val="001F3B13"/>
    <w:rsid w:val="001F4F7D"/>
    <w:rsid w:val="001F59E3"/>
    <w:rsid w:val="001F7234"/>
    <w:rsid w:val="00202777"/>
    <w:rsid w:val="0020482A"/>
    <w:rsid w:val="00205F69"/>
    <w:rsid w:val="0020680C"/>
    <w:rsid w:val="00207284"/>
    <w:rsid w:val="00210CDD"/>
    <w:rsid w:val="00211908"/>
    <w:rsid w:val="00211982"/>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6930"/>
    <w:rsid w:val="002D7A77"/>
    <w:rsid w:val="002E13C1"/>
    <w:rsid w:val="002E6D27"/>
    <w:rsid w:val="002E73B9"/>
    <w:rsid w:val="002E7F19"/>
    <w:rsid w:val="002F162D"/>
    <w:rsid w:val="002F1B64"/>
    <w:rsid w:val="002F5EFD"/>
    <w:rsid w:val="002F783D"/>
    <w:rsid w:val="0031161F"/>
    <w:rsid w:val="00327E68"/>
    <w:rsid w:val="00330BA3"/>
    <w:rsid w:val="00333246"/>
    <w:rsid w:val="00333EF6"/>
    <w:rsid w:val="0033481C"/>
    <w:rsid w:val="00335DCF"/>
    <w:rsid w:val="003367CE"/>
    <w:rsid w:val="00336FB2"/>
    <w:rsid w:val="00337786"/>
    <w:rsid w:val="003415E1"/>
    <w:rsid w:val="00341D29"/>
    <w:rsid w:val="0034350F"/>
    <w:rsid w:val="00345D38"/>
    <w:rsid w:val="00353B58"/>
    <w:rsid w:val="003563BE"/>
    <w:rsid w:val="00356B3B"/>
    <w:rsid w:val="0036158E"/>
    <w:rsid w:val="0036574C"/>
    <w:rsid w:val="00370FE9"/>
    <w:rsid w:val="00374288"/>
    <w:rsid w:val="003A07B5"/>
    <w:rsid w:val="003A568B"/>
    <w:rsid w:val="003A6810"/>
    <w:rsid w:val="003C4DD9"/>
    <w:rsid w:val="003C50BE"/>
    <w:rsid w:val="003D0D7A"/>
    <w:rsid w:val="003D7DC6"/>
    <w:rsid w:val="003E270A"/>
    <w:rsid w:val="003E3208"/>
    <w:rsid w:val="003E4BDA"/>
    <w:rsid w:val="003E5126"/>
    <w:rsid w:val="003F422C"/>
    <w:rsid w:val="004024EB"/>
    <w:rsid w:val="00404924"/>
    <w:rsid w:val="00407042"/>
    <w:rsid w:val="00414CCC"/>
    <w:rsid w:val="0041647A"/>
    <w:rsid w:val="00421694"/>
    <w:rsid w:val="00432EB1"/>
    <w:rsid w:val="00435B04"/>
    <w:rsid w:val="00436ACD"/>
    <w:rsid w:val="00441CA7"/>
    <w:rsid w:val="004506C3"/>
    <w:rsid w:val="0045082C"/>
    <w:rsid w:val="00455C8B"/>
    <w:rsid w:val="00472E44"/>
    <w:rsid w:val="00472F2F"/>
    <w:rsid w:val="0047665A"/>
    <w:rsid w:val="0048109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4F8B"/>
    <w:rsid w:val="005164D3"/>
    <w:rsid w:val="0051785D"/>
    <w:rsid w:val="005203A3"/>
    <w:rsid w:val="005359D2"/>
    <w:rsid w:val="0054053C"/>
    <w:rsid w:val="0054348B"/>
    <w:rsid w:val="005460B1"/>
    <w:rsid w:val="00551362"/>
    <w:rsid w:val="00557544"/>
    <w:rsid w:val="00560FDF"/>
    <w:rsid w:val="00567D0D"/>
    <w:rsid w:val="00572C47"/>
    <w:rsid w:val="0057658E"/>
    <w:rsid w:val="00576C5D"/>
    <w:rsid w:val="005830B0"/>
    <w:rsid w:val="005848E1"/>
    <w:rsid w:val="005902B8"/>
    <w:rsid w:val="005B341E"/>
    <w:rsid w:val="005B4545"/>
    <w:rsid w:val="005D565A"/>
    <w:rsid w:val="005F1A82"/>
    <w:rsid w:val="005F2F6A"/>
    <w:rsid w:val="00606EC1"/>
    <w:rsid w:val="00615C52"/>
    <w:rsid w:val="00625598"/>
    <w:rsid w:val="00630129"/>
    <w:rsid w:val="0063062B"/>
    <w:rsid w:val="00636640"/>
    <w:rsid w:val="00654C59"/>
    <w:rsid w:val="006640F3"/>
    <w:rsid w:val="00665481"/>
    <w:rsid w:val="006724D0"/>
    <w:rsid w:val="00691602"/>
    <w:rsid w:val="00691EF3"/>
    <w:rsid w:val="00692C91"/>
    <w:rsid w:val="006A18B7"/>
    <w:rsid w:val="006A5650"/>
    <w:rsid w:val="006A69AD"/>
    <w:rsid w:val="006B26D5"/>
    <w:rsid w:val="006B3A17"/>
    <w:rsid w:val="006B590A"/>
    <w:rsid w:val="006B5A67"/>
    <w:rsid w:val="006D1FD5"/>
    <w:rsid w:val="006D6A3A"/>
    <w:rsid w:val="006D7008"/>
    <w:rsid w:val="006F26C0"/>
    <w:rsid w:val="006F303A"/>
    <w:rsid w:val="006F3615"/>
    <w:rsid w:val="00702EBF"/>
    <w:rsid w:val="007048A7"/>
    <w:rsid w:val="00707518"/>
    <w:rsid w:val="00721051"/>
    <w:rsid w:val="00725341"/>
    <w:rsid w:val="00730061"/>
    <w:rsid w:val="00731486"/>
    <w:rsid w:val="0073714D"/>
    <w:rsid w:val="00756586"/>
    <w:rsid w:val="00760078"/>
    <w:rsid w:val="00773CCB"/>
    <w:rsid w:val="0077692F"/>
    <w:rsid w:val="00783B7F"/>
    <w:rsid w:val="007857C7"/>
    <w:rsid w:val="007913FA"/>
    <w:rsid w:val="00797504"/>
    <w:rsid w:val="00797689"/>
    <w:rsid w:val="007977EC"/>
    <w:rsid w:val="0079791B"/>
    <w:rsid w:val="007A35B2"/>
    <w:rsid w:val="007A52EF"/>
    <w:rsid w:val="007B1454"/>
    <w:rsid w:val="007B7260"/>
    <w:rsid w:val="007C15D1"/>
    <w:rsid w:val="007D2AFD"/>
    <w:rsid w:val="007D7FA8"/>
    <w:rsid w:val="007E02FA"/>
    <w:rsid w:val="00806194"/>
    <w:rsid w:val="0080796C"/>
    <w:rsid w:val="00812BF0"/>
    <w:rsid w:val="00820668"/>
    <w:rsid w:val="008240B3"/>
    <w:rsid w:val="008271C7"/>
    <w:rsid w:val="008278FE"/>
    <w:rsid w:val="008310B7"/>
    <w:rsid w:val="00836BC0"/>
    <w:rsid w:val="0084449A"/>
    <w:rsid w:val="008470B4"/>
    <w:rsid w:val="00847DB3"/>
    <w:rsid w:val="00850C37"/>
    <w:rsid w:val="00851231"/>
    <w:rsid w:val="008516AF"/>
    <w:rsid w:val="00864115"/>
    <w:rsid w:val="0086453F"/>
    <w:rsid w:val="00885A9A"/>
    <w:rsid w:val="0088703B"/>
    <w:rsid w:val="008878BB"/>
    <w:rsid w:val="00890AFC"/>
    <w:rsid w:val="00893213"/>
    <w:rsid w:val="008B3C6C"/>
    <w:rsid w:val="008B4EE1"/>
    <w:rsid w:val="008B651A"/>
    <w:rsid w:val="008C3042"/>
    <w:rsid w:val="008D1B9B"/>
    <w:rsid w:val="008D600D"/>
    <w:rsid w:val="008E1990"/>
    <w:rsid w:val="008E1BA1"/>
    <w:rsid w:val="008E287B"/>
    <w:rsid w:val="008E782A"/>
    <w:rsid w:val="008F0293"/>
    <w:rsid w:val="008F28CD"/>
    <w:rsid w:val="008F4EA4"/>
    <w:rsid w:val="00902302"/>
    <w:rsid w:val="009034B5"/>
    <w:rsid w:val="00920C44"/>
    <w:rsid w:val="009453CC"/>
    <w:rsid w:val="00945744"/>
    <w:rsid w:val="009529CF"/>
    <w:rsid w:val="0095354B"/>
    <w:rsid w:val="00964A69"/>
    <w:rsid w:val="00967B07"/>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13EA8"/>
    <w:rsid w:val="00A13F94"/>
    <w:rsid w:val="00A204E1"/>
    <w:rsid w:val="00A25F07"/>
    <w:rsid w:val="00A31A6D"/>
    <w:rsid w:val="00A37E65"/>
    <w:rsid w:val="00A40889"/>
    <w:rsid w:val="00A47F55"/>
    <w:rsid w:val="00A5167D"/>
    <w:rsid w:val="00A5441B"/>
    <w:rsid w:val="00A56AE8"/>
    <w:rsid w:val="00A57554"/>
    <w:rsid w:val="00A57862"/>
    <w:rsid w:val="00A606B7"/>
    <w:rsid w:val="00A66EFE"/>
    <w:rsid w:val="00A67106"/>
    <w:rsid w:val="00A675A8"/>
    <w:rsid w:val="00A747EB"/>
    <w:rsid w:val="00A823A2"/>
    <w:rsid w:val="00A82D85"/>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1D77"/>
    <w:rsid w:val="00B32843"/>
    <w:rsid w:val="00B34443"/>
    <w:rsid w:val="00B44160"/>
    <w:rsid w:val="00B50175"/>
    <w:rsid w:val="00B5103A"/>
    <w:rsid w:val="00B6674F"/>
    <w:rsid w:val="00B67328"/>
    <w:rsid w:val="00B678A8"/>
    <w:rsid w:val="00B7510A"/>
    <w:rsid w:val="00B80AD2"/>
    <w:rsid w:val="00B85059"/>
    <w:rsid w:val="00B9196D"/>
    <w:rsid w:val="00B924F7"/>
    <w:rsid w:val="00BA13C5"/>
    <w:rsid w:val="00BA18B5"/>
    <w:rsid w:val="00BA3872"/>
    <w:rsid w:val="00BA532C"/>
    <w:rsid w:val="00BA5ECE"/>
    <w:rsid w:val="00BB2363"/>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C30A9"/>
    <w:rsid w:val="00CC47C4"/>
    <w:rsid w:val="00CD06A4"/>
    <w:rsid w:val="00CD3B55"/>
    <w:rsid w:val="00CD6E86"/>
    <w:rsid w:val="00CE0DFD"/>
    <w:rsid w:val="00CF3529"/>
    <w:rsid w:val="00CF462B"/>
    <w:rsid w:val="00D146D0"/>
    <w:rsid w:val="00D155AF"/>
    <w:rsid w:val="00D16C83"/>
    <w:rsid w:val="00D23E4F"/>
    <w:rsid w:val="00D32D6F"/>
    <w:rsid w:val="00D41EE3"/>
    <w:rsid w:val="00D460FA"/>
    <w:rsid w:val="00D56182"/>
    <w:rsid w:val="00D7033A"/>
    <w:rsid w:val="00D720C9"/>
    <w:rsid w:val="00D7791B"/>
    <w:rsid w:val="00D8316D"/>
    <w:rsid w:val="00D84B5A"/>
    <w:rsid w:val="00D95F8E"/>
    <w:rsid w:val="00D97AB0"/>
    <w:rsid w:val="00DA5DC6"/>
    <w:rsid w:val="00DA5E4A"/>
    <w:rsid w:val="00DA655C"/>
    <w:rsid w:val="00DA7E82"/>
    <w:rsid w:val="00DB3E1E"/>
    <w:rsid w:val="00DC41F0"/>
    <w:rsid w:val="00DC453B"/>
    <w:rsid w:val="00DD2066"/>
    <w:rsid w:val="00DD3C0C"/>
    <w:rsid w:val="00DD510A"/>
    <w:rsid w:val="00DE1C53"/>
    <w:rsid w:val="00DE374B"/>
    <w:rsid w:val="00DE6829"/>
    <w:rsid w:val="00E02E43"/>
    <w:rsid w:val="00E2140E"/>
    <w:rsid w:val="00E23B49"/>
    <w:rsid w:val="00E264C1"/>
    <w:rsid w:val="00E32C35"/>
    <w:rsid w:val="00E5002C"/>
    <w:rsid w:val="00E5024A"/>
    <w:rsid w:val="00E54F6B"/>
    <w:rsid w:val="00E564EE"/>
    <w:rsid w:val="00E573DA"/>
    <w:rsid w:val="00E63C2F"/>
    <w:rsid w:val="00E65736"/>
    <w:rsid w:val="00E873EB"/>
    <w:rsid w:val="00E90B83"/>
    <w:rsid w:val="00E92FC8"/>
    <w:rsid w:val="00E952F1"/>
    <w:rsid w:val="00E97E52"/>
    <w:rsid w:val="00EA3BD2"/>
    <w:rsid w:val="00EC5DBC"/>
    <w:rsid w:val="00EC72CE"/>
    <w:rsid w:val="00ED1835"/>
    <w:rsid w:val="00ED3D95"/>
    <w:rsid w:val="00ED704A"/>
    <w:rsid w:val="00ED71E6"/>
    <w:rsid w:val="00EE16A7"/>
    <w:rsid w:val="00EE3EC4"/>
    <w:rsid w:val="00EF151E"/>
    <w:rsid w:val="00F002F4"/>
    <w:rsid w:val="00F252C2"/>
    <w:rsid w:val="00F45DB9"/>
    <w:rsid w:val="00F46B7E"/>
    <w:rsid w:val="00F53D6F"/>
    <w:rsid w:val="00F634EB"/>
    <w:rsid w:val="00F659B7"/>
    <w:rsid w:val="00F66150"/>
    <w:rsid w:val="00F6792B"/>
    <w:rsid w:val="00F87046"/>
    <w:rsid w:val="00FA07E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311761845">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FBAEA6A7-3FE4-4288-88D5-D12B328D6D22}"/>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Nubia Santana Maldonado</cp:lastModifiedBy>
  <cp:revision>3</cp:revision>
  <cp:lastPrinted>2024-02-12T21:20:00Z</cp:lastPrinted>
  <dcterms:created xsi:type="dcterms:W3CDTF">2025-04-23T20:50:00Z</dcterms:created>
  <dcterms:modified xsi:type="dcterms:W3CDTF">2025-04-23T20:50:00Z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2025-03-13T20:22:14Z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5b35fc9d-f269-4374-9982-b9fa70eb9bfe</vt:lpwstr>
  </property>
  <property fmtid="{D5CDD505-2E9C-101B-9397-08002B2CF9AE}" pid="9" name="MSIP_Label_381de9b9-fa69-44b3-a963-8b12822733d4_ContentBits">
    <vt:lpwstr>0</vt:lpwstr>
  </property>
  <property fmtid="{D5CDD505-2E9C-101B-9397-08002B2CF9AE}" pid="10" name="MSIP_Label_381de9b9-fa69-44b3-a963-8b12822733d4_Tag">
    <vt:lpwstr>10, 0, 1, 1</vt:lpwstr>
  </property>
</Properties>
</file>