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5F373C" w:rsidRDefault="00FF1E8D" w:rsidP="009C2732">
            <w:pPr>
              <w:rPr>
                <w:rFonts w:cs="Arial"/>
                <w:sz w:val="24"/>
                <w:szCs w:val="24"/>
              </w:rPr>
            </w:pPr>
          </w:p>
          <w:p w14:paraId="6DDD7066" w14:textId="77777777" w:rsidR="00FF1E8D" w:rsidRPr="005F373C" w:rsidRDefault="00FF1E8D" w:rsidP="009C2732">
            <w:pPr>
              <w:pStyle w:val="Ttulo2"/>
              <w:ind w:left="72" w:right="72"/>
              <w:rPr>
                <w:rFonts w:cs="Arial"/>
                <w:bCs/>
                <w:sz w:val="24"/>
                <w:szCs w:val="24"/>
              </w:rPr>
            </w:pPr>
            <w:r w:rsidRPr="005F373C">
              <w:rPr>
                <w:rFonts w:cs="Arial"/>
                <w:bCs/>
                <w:sz w:val="24"/>
                <w:szCs w:val="24"/>
              </w:rPr>
              <w:t xml:space="preserve">MEMORIA </w:t>
            </w:r>
            <w:r w:rsidR="009918A3" w:rsidRPr="005F373C">
              <w:rPr>
                <w:rFonts w:cs="Arial"/>
                <w:bCs/>
                <w:sz w:val="24"/>
                <w:szCs w:val="24"/>
              </w:rPr>
              <w:t>JUSTIFICATIVA – EXPEDICIÓN</w:t>
            </w:r>
            <w:r w:rsidRPr="005F373C">
              <w:rPr>
                <w:rFonts w:cs="Arial"/>
                <w:bCs/>
                <w:sz w:val="24"/>
                <w:szCs w:val="24"/>
              </w:rPr>
              <w:t xml:space="preserve"> NORMATIVA</w:t>
            </w:r>
          </w:p>
          <w:p w14:paraId="632DD9C9" w14:textId="77777777" w:rsidR="00FF1E8D" w:rsidRPr="005F373C"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5F373C" w:rsidRDefault="00FF1E8D" w:rsidP="00E264C1">
            <w:pPr>
              <w:jc w:val="both"/>
              <w:rPr>
                <w:rFonts w:cs="Arial"/>
                <w:b/>
                <w:sz w:val="24"/>
                <w:szCs w:val="24"/>
              </w:rPr>
            </w:pPr>
            <w:r w:rsidRPr="005F373C">
              <w:rPr>
                <w:rFonts w:cs="Arial"/>
                <w:b/>
                <w:sz w:val="24"/>
                <w:szCs w:val="24"/>
                <w:lang w:val="es-CO"/>
              </w:rPr>
              <w:t xml:space="preserve">Entidad que desarrollara el proyecto de Norma: </w:t>
            </w:r>
            <w:r w:rsidRPr="005F373C">
              <w:rPr>
                <w:rFonts w:cs="Arial"/>
                <w:sz w:val="24"/>
                <w:szCs w:val="24"/>
                <w:lang w:val="es-CO"/>
              </w:rPr>
              <w:t>Fondo Nacional del Ahorro</w:t>
            </w:r>
            <w:r w:rsidR="002E73B9" w:rsidRPr="005F373C">
              <w:rPr>
                <w:rFonts w:cs="Arial"/>
                <w:sz w:val="24"/>
                <w:szCs w:val="24"/>
                <w:lang w:val="es-CO"/>
              </w:rPr>
              <w:t xml:space="preserve"> </w:t>
            </w:r>
            <w:r w:rsidR="00E97E52" w:rsidRPr="005F373C">
              <w:rPr>
                <w:rFonts w:cs="Arial"/>
                <w:sz w:val="24"/>
                <w:szCs w:val="24"/>
                <w:lang w:val="es-CO"/>
              </w:rPr>
              <w:t>S.A.</w:t>
            </w:r>
          </w:p>
        </w:tc>
      </w:tr>
      <w:tr w:rsidR="00FF1E8D" w:rsidRPr="001234DE" w14:paraId="43376B3E" w14:textId="77777777" w:rsidTr="009C2732">
        <w:trPr>
          <w:trHeight w:val="511"/>
        </w:trPr>
        <w:tc>
          <w:tcPr>
            <w:tcW w:w="8977" w:type="dxa"/>
          </w:tcPr>
          <w:p w14:paraId="284A3DF3" w14:textId="7E08C0AC" w:rsidR="00C94E4C" w:rsidRPr="005F373C" w:rsidRDefault="00A56AE8" w:rsidP="00E264C1">
            <w:pPr>
              <w:jc w:val="both"/>
              <w:rPr>
                <w:rFonts w:cs="Arial"/>
                <w:b/>
                <w:sz w:val="24"/>
                <w:szCs w:val="24"/>
              </w:rPr>
            </w:pPr>
            <w:r w:rsidRPr="005F373C">
              <w:rPr>
                <w:rFonts w:cs="Arial"/>
                <w:b/>
                <w:sz w:val="24"/>
                <w:szCs w:val="24"/>
              </w:rPr>
              <w:t>Fecha</w:t>
            </w:r>
            <w:r w:rsidRPr="005F373C">
              <w:rPr>
                <w:rFonts w:cs="Arial"/>
                <w:sz w:val="24"/>
                <w:szCs w:val="24"/>
              </w:rPr>
              <w:t>:</w:t>
            </w:r>
            <w:r w:rsidR="0020680C" w:rsidRPr="005F373C">
              <w:rPr>
                <w:rFonts w:cs="Arial"/>
                <w:sz w:val="24"/>
                <w:szCs w:val="24"/>
              </w:rPr>
              <w:t xml:space="preserve"> </w:t>
            </w:r>
            <w:r w:rsidR="00273EC7">
              <w:rPr>
                <w:rFonts w:cs="Arial"/>
                <w:sz w:val="24"/>
                <w:szCs w:val="24"/>
              </w:rPr>
              <w:t>diciembre 9</w:t>
            </w:r>
            <w:r w:rsidR="002F0B3C" w:rsidRPr="005F373C">
              <w:rPr>
                <w:rFonts w:cs="Arial"/>
                <w:sz w:val="24"/>
                <w:szCs w:val="24"/>
              </w:rPr>
              <w:t xml:space="preserve"> </w:t>
            </w:r>
            <w:r w:rsidR="00987547" w:rsidRPr="005F373C">
              <w:rPr>
                <w:rFonts w:cs="Arial"/>
                <w:sz w:val="24"/>
                <w:szCs w:val="24"/>
              </w:rPr>
              <w:t>de 202</w:t>
            </w:r>
            <w:r w:rsidR="00225FCC" w:rsidRPr="005F373C">
              <w:rPr>
                <w:rFonts w:cs="Arial"/>
                <w:sz w:val="24"/>
                <w:szCs w:val="24"/>
              </w:rPr>
              <w:t>5</w:t>
            </w:r>
          </w:p>
        </w:tc>
      </w:tr>
      <w:tr w:rsidR="00FF1E8D" w:rsidRPr="001234DE" w14:paraId="2A866DF7" w14:textId="77777777" w:rsidTr="009C2732">
        <w:trPr>
          <w:trHeight w:val="806"/>
        </w:trPr>
        <w:tc>
          <w:tcPr>
            <w:tcW w:w="8977" w:type="dxa"/>
          </w:tcPr>
          <w:p w14:paraId="6A881D3A" w14:textId="6288138B" w:rsidR="009C2732" w:rsidRPr="005F373C" w:rsidRDefault="00A56AE8" w:rsidP="00495886">
            <w:pPr>
              <w:tabs>
                <w:tab w:val="left" w:pos="284"/>
                <w:tab w:val="left" w:pos="8931"/>
              </w:tabs>
              <w:ind w:right="44"/>
              <w:jc w:val="both"/>
              <w:rPr>
                <w:rFonts w:cs="Arial"/>
                <w:sz w:val="24"/>
                <w:szCs w:val="24"/>
                <w:lang w:val="es-ES_tradnl"/>
              </w:rPr>
            </w:pPr>
            <w:r w:rsidRPr="005F373C">
              <w:rPr>
                <w:rFonts w:cs="Arial"/>
                <w:b/>
                <w:bCs/>
                <w:sz w:val="24"/>
                <w:szCs w:val="24"/>
              </w:rPr>
              <w:t xml:space="preserve">Proyecto de </w:t>
            </w:r>
            <w:r w:rsidR="009C2732" w:rsidRPr="005F373C">
              <w:rPr>
                <w:rFonts w:cs="Arial"/>
                <w:b/>
                <w:bCs/>
                <w:sz w:val="24"/>
                <w:szCs w:val="24"/>
              </w:rPr>
              <w:t>Acto Administrativo</w:t>
            </w:r>
            <w:r w:rsidRPr="005F373C">
              <w:rPr>
                <w:rFonts w:cs="Arial"/>
                <w:bCs/>
                <w:sz w:val="24"/>
                <w:szCs w:val="24"/>
              </w:rPr>
              <w:t>:</w:t>
            </w:r>
            <w:r w:rsidR="00A965D8" w:rsidRPr="005F373C">
              <w:rPr>
                <w:rFonts w:cs="Arial"/>
                <w:bCs/>
                <w:sz w:val="24"/>
                <w:szCs w:val="24"/>
              </w:rPr>
              <w:t xml:space="preserve"> </w:t>
            </w:r>
            <w:r w:rsidR="00835ABF">
              <w:rPr>
                <w:rFonts w:cs="Arial"/>
                <w:bCs/>
                <w:sz w:val="24"/>
                <w:szCs w:val="24"/>
              </w:rPr>
              <w:t>P</w:t>
            </w:r>
            <w:r w:rsidR="00A965D8" w:rsidRPr="005F373C">
              <w:rPr>
                <w:rFonts w:cs="Arial"/>
                <w:bCs/>
                <w:sz w:val="24"/>
                <w:szCs w:val="24"/>
              </w:rPr>
              <w:t xml:space="preserve">or medio del cual se adopta </w:t>
            </w:r>
            <w:r w:rsidR="00C168A3" w:rsidRPr="005F373C">
              <w:rPr>
                <w:rFonts w:cs="Arial"/>
                <w:sz w:val="24"/>
                <w:szCs w:val="24"/>
              </w:rPr>
              <w:t>una nueva versión del</w:t>
            </w:r>
            <w:r w:rsidR="00C168A3" w:rsidRPr="005F373C">
              <w:rPr>
                <w:rFonts w:cs="Arial"/>
                <w:iCs/>
                <w:sz w:val="24"/>
                <w:szCs w:val="24"/>
              </w:rPr>
              <w:t xml:space="preserve"> Reglamento de Crédito y Leasing Habitacional en el Fondo Nacional del </w:t>
            </w:r>
            <w:r w:rsidR="00495886" w:rsidRPr="005F373C">
              <w:rPr>
                <w:rFonts w:cs="Arial"/>
                <w:iCs/>
                <w:sz w:val="24"/>
                <w:szCs w:val="24"/>
              </w:rPr>
              <w:t>Ahorro</w:t>
            </w:r>
            <w:r w:rsidR="00E97E52" w:rsidRPr="005F373C">
              <w:rPr>
                <w:rFonts w:cs="Arial"/>
                <w:iCs/>
                <w:sz w:val="24"/>
                <w:szCs w:val="24"/>
              </w:rPr>
              <w:t xml:space="preserve"> S.A. </w:t>
            </w:r>
            <w:r w:rsidR="009F39AB" w:rsidRPr="005F373C">
              <w:rPr>
                <w:rFonts w:cs="Arial"/>
                <w:iCs/>
                <w:sz w:val="24"/>
                <w:szCs w:val="24"/>
              </w:rPr>
              <w:t>-</w:t>
            </w:r>
            <w:r w:rsidR="009F39AB" w:rsidRPr="005F373C">
              <w:rPr>
                <w:rFonts w:cs="Arial"/>
                <w:sz w:val="24"/>
                <w:szCs w:val="24"/>
                <w:lang w:val="es-ES_tradnl"/>
              </w:rPr>
              <w:t xml:space="preserve"> Código</w:t>
            </w:r>
            <w:r w:rsidR="009F39AB" w:rsidRPr="005F373C">
              <w:rPr>
                <w:rFonts w:cs="Arial"/>
                <w:sz w:val="24"/>
                <w:szCs w:val="24"/>
              </w:rPr>
              <w:t xml:space="preserve"> </w:t>
            </w:r>
            <w:r w:rsidR="009F39AB" w:rsidRPr="005F373C">
              <w:rPr>
                <w:rFonts w:cs="Arial"/>
                <w:sz w:val="24"/>
                <w:szCs w:val="24"/>
                <w:lang w:val="es-ES_tradnl"/>
              </w:rPr>
              <w:t xml:space="preserve">II-ID-RP-CLH Versión </w:t>
            </w:r>
            <w:r w:rsidR="008E1EC4" w:rsidRPr="005F373C">
              <w:rPr>
                <w:rFonts w:cs="Arial"/>
                <w:sz w:val="24"/>
                <w:szCs w:val="24"/>
                <w:lang w:val="es-ES_tradnl"/>
              </w:rPr>
              <w:t>1</w:t>
            </w:r>
            <w:r w:rsidR="00273EC7">
              <w:rPr>
                <w:rFonts w:cs="Arial"/>
                <w:sz w:val="24"/>
                <w:szCs w:val="24"/>
                <w:lang w:val="es-ES_tradnl"/>
              </w:rPr>
              <w:t>5</w:t>
            </w:r>
            <w:r w:rsidR="009F39AB" w:rsidRPr="005F373C">
              <w:rPr>
                <w:rFonts w:cs="Arial"/>
                <w:sz w:val="24"/>
                <w:szCs w:val="24"/>
                <w:lang w:val="es-ES_tradnl"/>
              </w:rPr>
              <w:t xml:space="preserve">. </w:t>
            </w:r>
          </w:p>
          <w:p w14:paraId="78C7F81D" w14:textId="29ACC2E0" w:rsidR="008E1EC4" w:rsidRPr="005F373C" w:rsidRDefault="008E1EC4" w:rsidP="00495886">
            <w:pPr>
              <w:tabs>
                <w:tab w:val="left" w:pos="284"/>
                <w:tab w:val="left" w:pos="8931"/>
              </w:tabs>
              <w:ind w:right="44"/>
              <w:jc w:val="both"/>
              <w:rPr>
                <w:rFonts w:cs="Arial"/>
                <w:iCs/>
                <w:sz w:val="24"/>
                <w:szCs w:val="24"/>
              </w:rPr>
            </w:pPr>
          </w:p>
        </w:tc>
      </w:tr>
      <w:tr w:rsidR="00FF1E8D" w:rsidRPr="001234DE" w14:paraId="2EEBFAC1" w14:textId="77777777" w:rsidTr="009C2732">
        <w:trPr>
          <w:trHeight w:val="744"/>
        </w:trPr>
        <w:tc>
          <w:tcPr>
            <w:tcW w:w="8977" w:type="dxa"/>
          </w:tcPr>
          <w:p w14:paraId="5D2D5392" w14:textId="43218AD2" w:rsidR="009C2732" w:rsidRPr="005F373C" w:rsidRDefault="00A56AE8" w:rsidP="005F1A82">
            <w:pPr>
              <w:jc w:val="both"/>
              <w:rPr>
                <w:rFonts w:cs="Arial"/>
                <w:sz w:val="24"/>
                <w:szCs w:val="24"/>
              </w:rPr>
            </w:pPr>
            <w:r w:rsidRPr="005F373C">
              <w:rPr>
                <w:rFonts w:cs="Arial"/>
                <w:b/>
                <w:bCs/>
                <w:sz w:val="24"/>
                <w:szCs w:val="24"/>
              </w:rPr>
              <w:t>Normas que otorgan competencia para la expedición del acto</w:t>
            </w:r>
            <w:r w:rsidR="002E73B9" w:rsidRPr="005F373C">
              <w:rPr>
                <w:rFonts w:cs="Arial"/>
                <w:b/>
                <w:bCs/>
                <w:sz w:val="24"/>
                <w:szCs w:val="24"/>
              </w:rPr>
              <w:t>:</w:t>
            </w:r>
            <w:r w:rsidR="004F7BFB" w:rsidRPr="005F373C">
              <w:rPr>
                <w:rFonts w:cs="Arial"/>
                <w:sz w:val="24"/>
                <w:szCs w:val="24"/>
              </w:rPr>
              <w:t xml:space="preserve"> </w:t>
            </w:r>
            <w:r w:rsidR="008878BB" w:rsidRPr="005F373C">
              <w:rPr>
                <w:rFonts w:cs="Arial"/>
                <w:sz w:val="24"/>
                <w:szCs w:val="24"/>
              </w:rPr>
              <w:t>Estatutos del F</w:t>
            </w:r>
            <w:r w:rsidR="0020680C" w:rsidRPr="005F373C">
              <w:rPr>
                <w:rFonts w:cs="Arial"/>
                <w:sz w:val="24"/>
                <w:szCs w:val="24"/>
              </w:rPr>
              <w:t xml:space="preserve">ondo </w:t>
            </w:r>
            <w:r w:rsidR="008878BB" w:rsidRPr="005F373C">
              <w:rPr>
                <w:rFonts w:cs="Arial"/>
                <w:sz w:val="24"/>
                <w:szCs w:val="24"/>
              </w:rPr>
              <w:t>N</w:t>
            </w:r>
            <w:r w:rsidR="0020680C" w:rsidRPr="005F373C">
              <w:rPr>
                <w:rFonts w:cs="Arial"/>
                <w:sz w:val="24"/>
                <w:szCs w:val="24"/>
              </w:rPr>
              <w:t xml:space="preserve">acional del </w:t>
            </w:r>
            <w:r w:rsidR="008878BB" w:rsidRPr="005F373C">
              <w:rPr>
                <w:rFonts w:cs="Arial"/>
                <w:sz w:val="24"/>
                <w:szCs w:val="24"/>
              </w:rPr>
              <w:t>A</w:t>
            </w:r>
            <w:r w:rsidR="0020680C" w:rsidRPr="005F373C">
              <w:rPr>
                <w:rFonts w:cs="Arial"/>
                <w:sz w:val="24"/>
                <w:szCs w:val="24"/>
              </w:rPr>
              <w:t>horro S.A.</w:t>
            </w:r>
            <w:r w:rsidR="008878BB" w:rsidRPr="005F373C">
              <w:rPr>
                <w:rFonts w:cs="Arial"/>
                <w:sz w:val="24"/>
                <w:szCs w:val="24"/>
              </w:rPr>
              <w:t xml:space="preserve">, </w:t>
            </w:r>
            <w:r w:rsidR="0008483B" w:rsidRPr="005F373C">
              <w:rPr>
                <w:rFonts w:cs="Arial"/>
                <w:sz w:val="24"/>
                <w:szCs w:val="24"/>
              </w:rPr>
              <w:t>Circular Básica Contable 100 de la Superintendencia Financiera de Colombi</w:t>
            </w:r>
            <w:r w:rsidR="00A13EA8" w:rsidRPr="005F373C">
              <w:rPr>
                <w:rFonts w:cs="Arial"/>
                <w:sz w:val="24"/>
                <w:szCs w:val="24"/>
              </w:rPr>
              <w:t>a</w:t>
            </w:r>
            <w:r w:rsidR="0008483B" w:rsidRPr="005F373C">
              <w:rPr>
                <w:rFonts w:cs="Arial"/>
                <w:sz w:val="24"/>
                <w:szCs w:val="24"/>
              </w:rPr>
              <w:t>.</w:t>
            </w:r>
          </w:p>
        </w:tc>
      </w:tr>
      <w:tr w:rsidR="00FF1E8D" w:rsidRPr="001234DE" w14:paraId="34008CE6" w14:textId="77777777" w:rsidTr="009C2732">
        <w:trPr>
          <w:trHeight w:val="527"/>
        </w:trPr>
        <w:tc>
          <w:tcPr>
            <w:tcW w:w="8977" w:type="dxa"/>
          </w:tcPr>
          <w:p w14:paraId="5BE554E8" w14:textId="77777777" w:rsidR="004B06FD" w:rsidRPr="005F373C" w:rsidRDefault="00A57862" w:rsidP="005F1A82">
            <w:pPr>
              <w:jc w:val="both"/>
              <w:rPr>
                <w:rFonts w:cs="Arial"/>
                <w:b/>
                <w:bCs/>
                <w:sz w:val="24"/>
                <w:szCs w:val="24"/>
              </w:rPr>
            </w:pPr>
            <w:r w:rsidRPr="005F373C">
              <w:rPr>
                <w:rFonts w:cs="Arial"/>
                <w:b/>
                <w:bCs/>
                <w:sz w:val="24"/>
                <w:szCs w:val="24"/>
              </w:rPr>
              <w:t xml:space="preserve">Vigencia </w:t>
            </w:r>
          </w:p>
          <w:p w14:paraId="3123B712" w14:textId="77777777" w:rsidR="008E1EC4" w:rsidRPr="005F373C" w:rsidRDefault="008E1EC4" w:rsidP="005F1A82">
            <w:pPr>
              <w:jc w:val="both"/>
              <w:rPr>
                <w:rFonts w:cs="Arial"/>
                <w:b/>
                <w:bCs/>
                <w:sz w:val="24"/>
                <w:szCs w:val="24"/>
              </w:rPr>
            </w:pPr>
          </w:p>
          <w:p w14:paraId="294F4369" w14:textId="77777777" w:rsidR="00C831AA" w:rsidRPr="00C831AA" w:rsidRDefault="00C831AA" w:rsidP="00C831AA">
            <w:pPr>
              <w:pStyle w:val="Prrafodelista"/>
              <w:autoSpaceDE w:val="0"/>
              <w:autoSpaceDN w:val="0"/>
              <w:adjustRightInd w:val="0"/>
              <w:ind w:left="169"/>
              <w:rPr>
                <w:rFonts w:ascii="Arial" w:eastAsia="Times New Roman" w:hAnsi="Arial" w:cs="Arial"/>
                <w:sz w:val="24"/>
                <w:szCs w:val="24"/>
                <w:lang w:val="es-ES" w:eastAsia="es-ES"/>
              </w:rPr>
            </w:pPr>
            <w:r w:rsidRPr="00C831AA">
              <w:rPr>
                <w:rFonts w:ascii="Arial" w:eastAsia="Times New Roman" w:hAnsi="Arial" w:cs="Arial"/>
                <w:sz w:val="24"/>
                <w:szCs w:val="24"/>
                <w:lang w:val="es-ES" w:eastAsia="es-ES"/>
              </w:rPr>
              <w:t>La versión 15 del Reglamento de Crédito y Leasing Habitacional regirá a partir de su publicación. Sin embargo, la entrada en vigor de los siguientes productos se ajusta conforme a lo indicado:</w:t>
            </w:r>
          </w:p>
          <w:p w14:paraId="60D9DA1A" w14:textId="77777777" w:rsidR="00C831AA" w:rsidRPr="00C831AA" w:rsidRDefault="00C831AA" w:rsidP="00C831AA">
            <w:pPr>
              <w:pStyle w:val="Prrafodelista"/>
              <w:autoSpaceDE w:val="0"/>
              <w:autoSpaceDN w:val="0"/>
              <w:adjustRightInd w:val="0"/>
              <w:ind w:left="169"/>
              <w:rPr>
                <w:rFonts w:ascii="Arial" w:eastAsia="Times New Roman" w:hAnsi="Arial" w:cs="Arial"/>
                <w:sz w:val="24"/>
                <w:szCs w:val="24"/>
                <w:lang w:val="es-ES" w:eastAsia="es-ES"/>
              </w:rPr>
            </w:pPr>
          </w:p>
          <w:p w14:paraId="2090F1D0" w14:textId="77777777" w:rsidR="00C831AA" w:rsidRPr="00C831AA" w:rsidRDefault="00C831AA" w:rsidP="00C831AA">
            <w:pPr>
              <w:pStyle w:val="Prrafodelista"/>
              <w:autoSpaceDE w:val="0"/>
              <w:autoSpaceDN w:val="0"/>
              <w:adjustRightInd w:val="0"/>
              <w:ind w:left="169"/>
              <w:rPr>
                <w:rFonts w:ascii="Arial" w:eastAsia="Times New Roman" w:hAnsi="Arial" w:cs="Arial"/>
                <w:sz w:val="24"/>
                <w:szCs w:val="24"/>
                <w:lang w:val="es-ES" w:eastAsia="es-ES"/>
              </w:rPr>
            </w:pPr>
            <w:r w:rsidRPr="00C831AA">
              <w:rPr>
                <w:rFonts w:ascii="Arial" w:eastAsia="Times New Roman" w:hAnsi="Arial" w:cs="Arial"/>
                <w:sz w:val="24"/>
                <w:szCs w:val="24"/>
                <w:lang w:val="es-ES" w:eastAsia="es-ES"/>
              </w:rPr>
              <w:t>El Crédito de Mejora de Vivienda sin Constitución de Garantía Hipotecaria entrará en vigor el 30 de enero de 2026.</w:t>
            </w:r>
          </w:p>
          <w:p w14:paraId="73996E49" w14:textId="77777777" w:rsidR="00C831AA" w:rsidRPr="00C831AA" w:rsidRDefault="00C831AA" w:rsidP="00C831AA">
            <w:pPr>
              <w:pStyle w:val="Prrafodelista"/>
              <w:autoSpaceDE w:val="0"/>
              <w:autoSpaceDN w:val="0"/>
              <w:adjustRightInd w:val="0"/>
              <w:ind w:left="169"/>
              <w:rPr>
                <w:rFonts w:ascii="Arial" w:eastAsia="Times New Roman" w:hAnsi="Arial" w:cs="Arial"/>
                <w:sz w:val="24"/>
                <w:szCs w:val="24"/>
                <w:lang w:val="es-ES" w:eastAsia="es-ES"/>
              </w:rPr>
            </w:pPr>
          </w:p>
          <w:p w14:paraId="6028C96C" w14:textId="77777777" w:rsidR="00C831AA" w:rsidRPr="00C831AA" w:rsidRDefault="00C831AA" w:rsidP="00C831AA">
            <w:pPr>
              <w:pStyle w:val="Prrafodelista"/>
              <w:autoSpaceDE w:val="0"/>
              <w:autoSpaceDN w:val="0"/>
              <w:adjustRightInd w:val="0"/>
              <w:spacing w:after="0"/>
              <w:ind w:left="169"/>
              <w:rPr>
                <w:rFonts w:ascii="Arial" w:eastAsia="Times New Roman" w:hAnsi="Arial" w:cs="Arial"/>
                <w:sz w:val="24"/>
                <w:szCs w:val="24"/>
                <w:lang w:val="es-ES" w:eastAsia="es-ES"/>
              </w:rPr>
            </w:pPr>
            <w:r w:rsidRPr="00C831AA">
              <w:rPr>
                <w:rFonts w:ascii="Arial" w:eastAsia="Times New Roman" w:hAnsi="Arial" w:cs="Arial"/>
                <w:sz w:val="24"/>
                <w:szCs w:val="24"/>
                <w:lang w:val="es-ES" w:eastAsia="es-ES"/>
              </w:rPr>
              <w:t>Crédito Asociativo (Capítulo 6) entrará en vigor el 28 de febrero de 2026.</w:t>
            </w:r>
          </w:p>
          <w:p w14:paraId="17C42B73" w14:textId="77777777" w:rsidR="00C831AA" w:rsidRPr="00C831AA" w:rsidRDefault="00C831AA" w:rsidP="00C831AA">
            <w:pPr>
              <w:pStyle w:val="Prrafodelista"/>
              <w:autoSpaceDE w:val="0"/>
              <w:autoSpaceDN w:val="0"/>
              <w:adjustRightInd w:val="0"/>
              <w:spacing w:after="0"/>
              <w:ind w:left="169"/>
              <w:rPr>
                <w:rFonts w:ascii="Arial" w:eastAsia="Times New Roman" w:hAnsi="Arial" w:cs="Arial"/>
                <w:sz w:val="24"/>
                <w:szCs w:val="24"/>
                <w:lang w:val="es-ES" w:eastAsia="es-ES"/>
              </w:rPr>
            </w:pPr>
          </w:p>
          <w:p w14:paraId="08AB7051" w14:textId="5BC38DE1" w:rsidR="007E1763" w:rsidRPr="005F373C" w:rsidRDefault="00C831AA" w:rsidP="00C831AA">
            <w:pPr>
              <w:autoSpaceDE w:val="0"/>
              <w:autoSpaceDN w:val="0"/>
              <w:adjustRightInd w:val="0"/>
              <w:ind w:left="164"/>
              <w:jc w:val="both"/>
              <w:rPr>
                <w:rFonts w:cs="Arial"/>
                <w:b/>
                <w:sz w:val="24"/>
                <w:szCs w:val="24"/>
              </w:rPr>
            </w:pPr>
            <w:r w:rsidRPr="00C831AA">
              <w:rPr>
                <w:rFonts w:cs="Arial"/>
                <w:sz w:val="24"/>
                <w:szCs w:val="24"/>
              </w:rPr>
              <w:t>Finalmente, el Crédito Educativo para AVC y Cesantías entrará en vigor el 30 de junio de 2026, o antes si se cuenta con la viabilidad técnica, cumpliendo igualmente con los procesos y lineamientos normativos aplicable</w:t>
            </w:r>
          </w:p>
        </w:tc>
      </w:tr>
      <w:tr w:rsidR="00FF1E8D" w:rsidRPr="001234DE" w14:paraId="4DFAF129" w14:textId="77777777" w:rsidTr="009C2732">
        <w:trPr>
          <w:trHeight w:val="1085"/>
        </w:trPr>
        <w:tc>
          <w:tcPr>
            <w:tcW w:w="8977" w:type="dxa"/>
          </w:tcPr>
          <w:p w14:paraId="0449E5AE" w14:textId="77777777" w:rsidR="008E1EC4" w:rsidRPr="005F373C" w:rsidRDefault="008E1EC4" w:rsidP="005F1A82">
            <w:pPr>
              <w:jc w:val="both"/>
              <w:rPr>
                <w:rFonts w:cs="Arial"/>
                <w:b/>
                <w:bCs/>
                <w:sz w:val="24"/>
                <w:szCs w:val="24"/>
              </w:rPr>
            </w:pPr>
          </w:p>
          <w:p w14:paraId="40A194FD" w14:textId="4CCF9E7F" w:rsidR="008E1EC4" w:rsidRPr="005F373C" w:rsidRDefault="0009232C" w:rsidP="008E1EC4">
            <w:pPr>
              <w:jc w:val="both"/>
              <w:rPr>
                <w:rFonts w:cs="Arial"/>
                <w:bCs/>
                <w:sz w:val="24"/>
                <w:szCs w:val="24"/>
              </w:rPr>
            </w:pPr>
            <w:r w:rsidRPr="005F373C">
              <w:rPr>
                <w:rFonts w:cs="Arial"/>
                <w:b/>
                <w:bCs/>
                <w:sz w:val="24"/>
                <w:szCs w:val="24"/>
              </w:rPr>
              <w:t>Disposiciones derogadas, subrogadas, modificadas, adicionadas o sustituidas</w:t>
            </w:r>
            <w:r w:rsidR="001745EE" w:rsidRPr="005F373C">
              <w:rPr>
                <w:rFonts w:cs="Arial"/>
                <w:b/>
                <w:bCs/>
                <w:sz w:val="24"/>
                <w:szCs w:val="24"/>
              </w:rPr>
              <w:t>.</w:t>
            </w:r>
            <w:r w:rsidR="008E1EC4" w:rsidRPr="005F373C">
              <w:rPr>
                <w:rFonts w:cs="Arial"/>
                <w:b/>
                <w:bCs/>
                <w:sz w:val="24"/>
                <w:szCs w:val="24"/>
              </w:rPr>
              <w:t xml:space="preserve"> </w:t>
            </w:r>
            <w:r w:rsidR="008E1EC4" w:rsidRPr="005F373C">
              <w:rPr>
                <w:rFonts w:cs="Arial"/>
                <w:bCs/>
                <w:sz w:val="24"/>
                <w:szCs w:val="24"/>
              </w:rPr>
              <w:t xml:space="preserve"> </w:t>
            </w:r>
          </w:p>
          <w:p w14:paraId="29D333A0" w14:textId="12CDB223" w:rsidR="007E1763" w:rsidRDefault="007E1763" w:rsidP="008E1EC4">
            <w:pPr>
              <w:jc w:val="both"/>
              <w:rPr>
                <w:rFonts w:cs="Arial"/>
                <w:iCs/>
                <w:sz w:val="24"/>
                <w:szCs w:val="24"/>
              </w:rPr>
            </w:pPr>
          </w:p>
          <w:p w14:paraId="3C817FA5" w14:textId="362382CD" w:rsidR="00835ABF" w:rsidRDefault="00835ABF" w:rsidP="00835ABF">
            <w:pPr>
              <w:jc w:val="both"/>
              <w:rPr>
                <w:rFonts w:cs="Arial"/>
                <w:iCs/>
                <w:sz w:val="24"/>
                <w:szCs w:val="24"/>
              </w:rPr>
            </w:pPr>
            <w:r w:rsidRPr="00835ABF">
              <w:rPr>
                <w:rFonts w:cs="Arial"/>
                <w:iCs/>
                <w:sz w:val="24"/>
                <w:szCs w:val="24"/>
              </w:rPr>
              <w:t xml:space="preserve">Se deroga el Formato de Registro de Decisiones de Junta Directiva No. </w:t>
            </w:r>
            <w:r w:rsidR="00C831AA">
              <w:rPr>
                <w:rFonts w:cs="Arial"/>
                <w:iCs/>
                <w:sz w:val="24"/>
                <w:szCs w:val="24"/>
              </w:rPr>
              <w:t xml:space="preserve">    </w:t>
            </w:r>
            <w:r w:rsidRPr="00835ABF">
              <w:rPr>
                <w:rFonts w:cs="Arial"/>
                <w:iCs/>
                <w:sz w:val="24"/>
                <w:szCs w:val="24"/>
              </w:rPr>
              <w:t xml:space="preserve"> aprobado en la sesión No. 101</w:t>
            </w:r>
            <w:r w:rsidR="00C831AA">
              <w:rPr>
                <w:rFonts w:cs="Arial"/>
                <w:iCs/>
                <w:sz w:val="24"/>
                <w:szCs w:val="24"/>
              </w:rPr>
              <w:t>8</w:t>
            </w:r>
            <w:r w:rsidRPr="00835ABF">
              <w:rPr>
                <w:rFonts w:cs="Arial"/>
                <w:iCs/>
                <w:sz w:val="24"/>
                <w:szCs w:val="24"/>
              </w:rPr>
              <w:t xml:space="preserve"> del </w:t>
            </w:r>
            <w:r w:rsidR="00C831AA">
              <w:rPr>
                <w:rFonts w:cs="Arial"/>
                <w:iCs/>
                <w:sz w:val="24"/>
                <w:szCs w:val="24"/>
              </w:rPr>
              <w:t>25</w:t>
            </w:r>
            <w:r w:rsidRPr="00835ABF">
              <w:rPr>
                <w:rFonts w:cs="Arial"/>
                <w:iCs/>
                <w:sz w:val="24"/>
                <w:szCs w:val="24"/>
              </w:rPr>
              <w:t xml:space="preserve"> de </w:t>
            </w:r>
            <w:r w:rsidR="00C831AA">
              <w:rPr>
                <w:rFonts w:cs="Arial"/>
                <w:iCs/>
                <w:sz w:val="24"/>
                <w:szCs w:val="24"/>
              </w:rPr>
              <w:t>noviembre</w:t>
            </w:r>
            <w:r w:rsidRPr="00835ABF">
              <w:rPr>
                <w:rFonts w:cs="Arial"/>
                <w:iCs/>
                <w:sz w:val="24"/>
                <w:szCs w:val="24"/>
              </w:rPr>
              <w:t xml:space="preserve"> de 2025, correspondiente a la Versión 1</w:t>
            </w:r>
            <w:r w:rsidR="00C831AA">
              <w:rPr>
                <w:rFonts w:cs="Arial"/>
                <w:iCs/>
                <w:sz w:val="24"/>
                <w:szCs w:val="24"/>
              </w:rPr>
              <w:t>4</w:t>
            </w:r>
            <w:r w:rsidRPr="00835ABF">
              <w:rPr>
                <w:rFonts w:cs="Arial"/>
                <w:iCs/>
                <w:sz w:val="24"/>
                <w:szCs w:val="24"/>
              </w:rPr>
              <w:t xml:space="preserve"> del Reglamento de Crédito y Leasing Habitacional y las disposiciones que le sean contrarias. La nueva Versión 1</w:t>
            </w:r>
            <w:r w:rsidR="00C831AA">
              <w:rPr>
                <w:rFonts w:cs="Arial"/>
                <w:iCs/>
                <w:sz w:val="24"/>
                <w:szCs w:val="24"/>
              </w:rPr>
              <w:t>5</w:t>
            </w:r>
            <w:r w:rsidRPr="00835ABF">
              <w:rPr>
                <w:rFonts w:cs="Arial"/>
                <w:iCs/>
                <w:sz w:val="24"/>
                <w:szCs w:val="24"/>
              </w:rPr>
              <w:t xml:space="preserve"> del reglamento entrará en vigor a partir de su publicación</w:t>
            </w:r>
            <w:r>
              <w:rPr>
                <w:rFonts w:cs="Arial"/>
                <w:iCs/>
                <w:sz w:val="24"/>
                <w:szCs w:val="24"/>
              </w:rPr>
              <w:t>,</w:t>
            </w:r>
            <w:r w:rsidR="00C831AA">
              <w:rPr>
                <w:rFonts w:cs="Arial"/>
                <w:iCs/>
                <w:sz w:val="24"/>
                <w:szCs w:val="24"/>
              </w:rPr>
              <w:t xml:space="preserve"> </w:t>
            </w:r>
            <w:r w:rsidR="00136207">
              <w:rPr>
                <w:rFonts w:cs="Arial"/>
                <w:iCs/>
                <w:sz w:val="24"/>
                <w:szCs w:val="24"/>
              </w:rPr>
              <w:t>en donde se a</w:t>
            </w:r>
            <w:r w:rsidR="00136207" w:rsidRPr="00136207">
              <w:rPr>
                <w:rFonts w:cs="Arial"/>
                <w:iCs/>
                <w:sz w:val="24"/>
                <w:szCs w:val="24"/>
              </w:rPr>
              <w:t>diciona</w:t>
            </w:r>
            <w:r w:rsidR="00136207">
              <w:rPr>
                <w:rFonts w:cs="Arial"/>
                <w:iCs/>
                <w:sz w:val="24"/>
                <w:szCs w:val="24"/>
              </w:rPr>
              <w:t xml:space="preserve"> </w:t>
            </w:r>
            <w:r w:rsidR="00136207" w:rsidRPr="00136207">
              <w:rPr>
                <w:rFonts w:cs="Arial"/>
                <w:iCs/>
                <w:sz w:val="24"/>
                <w:szCs w:val="24"/>
              </w:rPr>
              <w:t xml:space="preserve">el parágrafo segundo del numeral 5.3.2 “Solicitud Crédito Constructor”, con el fin de establecer que en los casos en que el solicitante no cuente con la licencia expedida y ejecutoriada, pueda radicar la solicitud de </w:t>
            </w:r>
            <w:r w:rsidR="00136207" w:rsidRPr="00136207">
              <w:rPr>
                <w:rFonts w:cs="Arial"/>
                <w:iCs/>
                <w:sz w:val="24"/>
                <w:szCs w:val="24"/>
              </w:rPr>
              <w:lastRenderedPageBreak/>
              <w:t>crédito con la licencia en estado aprobado no ejecutoriadas; pero, en la etapa de legalización deberá aportarse la licencia de construcción aprobada y ejecutoriada.</w:t>
            </w:r>
          </w:p>
          <w:p w14:paraId="1365E09C" w14:textId="21A74DE5" w:rsidR="00835ABF" w:rsidRPr="005F373C" w:rsidRDefault="00835ABF" w:rsidP="008E1EC4">
            <w:pPr>
              <w:jc w:val="both"/>
              <w:rPr>
                <w:rFonts w:cs="Arial"/>
                <w:iCs/>
                <w:sz w:val="24"/>
                <w:szCs w:val="24"/>
              </w:rPr>
            </w:pPr>
          </w:p>
          <w:p w14:paraId="5CE16560" w14:textId="707D45D3" w:rsidR="00C94E4C" w:rsidRPr="005F373C" w:rsidRDefault="00C94E4C" w:rsidP="005F1A82">
            <w:pPr>
              <w:jc w:val="both"/>
              <w:rPr>
                <w:rFonts w:cs="Arial"/>
                <w:b/>
                <w:sz w:val="24"/>
                <w:szCs w:val="24"/>
              </w:rPr>
            </w:pPr>
          </w:p>
        </w:tc>
      </w:tr>
      <w:tr w:rsidR="007624AE" w:rsidRPr="001234DE" w14:paraId="421DEF6B" w14:textId="77777777" w:rsidTr="009C2732">
        <w:trPr>
          <w:trHeight w:val="511"/>
        </w:trPr>
        <w:tc>
          <w:tcPr>
            <w:tcW w:w="8977" w:type="dxa"/>
          </w:tcPr>
          <w:p w14:paraId="5BCB078F" w14:textId="77777777" w:rsidR="007624AE" w:rsidRPr="005F373C" w:rsidRDefault="007624AE" w:rsidP="007624AE">
            <w:pPr>
              <w:rPr>
                <w:rFonts w:cs="Arial"/>
                <w:b/>
                <w:bCs/>
                <w:sz w:val="24"/>
                <w:szCs w:val="24"/>
              </w:rPr>
            </w:pPr>
            <w:r w:rsidRPr="005F373C">
              <w:rPr>
                <w:rFonts w:cs="Arial"/>
                <w:b/>
                <w:bCs/>
                <w:sz w:val="24"/>
                <w:szCs w:val="24"/>
              </w:rPr>
              <w:lastRenderedPageBreak/>
              <w:t xml:space="preserve">Antecedentes y Razones de oportunidad y conveniencia que justifican la expedición del proyecto. </w:t>
            </w:r>
          </w:p>
          <w:p w14:paraId="3FF55BF0" w14:textId="77777777" w:rsidR="007624AE" w:rsidRPr="005F373C" w:rsidRDefault="007624AE" w:rsidP="007624AE">
            <w:pPr>
              <w:rPr>
                <w:rFonts w:cs="Arial"/>
                <w:b/>
                <w:bCs/>
                <w:sz w:val="24"/>
                <w:szCs w:val="24"/>
              </w:rPr>
            </w:pPr>
          </w:p>
          <w:p w14:paraId="529EBA60" w14:textId="01719736" w:rsidR="00945524" w:rsidRPr="00945524" w:rsidRDefault="00A67C5D" w:rsidP="00945524">
            <w:pPr>
              <w:jc w:val="both"/>
              <w:rPr>
                <w:rFonts w:cs="Arial"/>
                <w:sz w:val="24"/>
                <w:szCs w:val="24"/>
                <w:lang w:val="es-CO"/>
              </w:rPr>
            </w:pPr>
            <w:r w:rsidRPr="00F10D00">
              <w:rPr>
                <w:rFonts w:cs="Arial"/>
                <w:sz w:val="24"/>
                <w:szCs w:val="24"/>
              </w:rPr>
              <w:t xml:space="preserve">En atención a lo aprobado por la </w:t>
            </w:r>
            <w:r w:rsidRPr="0012344A">
              <w:rPr>
                <w:rFonts w:cs="Arial"/>
                <w:sz w:val="24"/>
                <w:szCs w:val="24"/>
              </w:rPr>
              <w:t>Junta Directiva en sesión 1015 de agosto de 2025</w:t>
            </w:r>
            <w:r w:rsidRPr="00F10D00">
              <w:rPr>
                <w:rFonts w:cs="Arial"/>
                <w:sz w:val="24"/>
                <w:szCs w:val="24"/>
              </w:rPr>
              <w:t xml:space="preserve">, </w:t>
            </w:r>
            <w:r>
              <w:rPr>
                <w:rFonts w:cs="Arial"/>
                <w:sz w:val="24"/>
                <w:szCs w:val="24"/>
              </w:rPr>
              <w:t xml:space="preserve">se requiere </w:t>
            </w:r>
            <w:r w:rsidR="0012344A">
              <w:rPr>
                <w:rFonts w:cs="Arial"/>
                <w:sz w:val="24"/>
                <w:szCs w:val="24"/>
              </w:rPr>
              <w:t>adicionar texto al</w:t>
            </w:r>
            <w:r w:rsidR="00945524" w:rsidRPr="00945524">
              <w:rPr>
                <w:rFonts w:cs="Arial"/>
                <w:sz w:val="24"/>
                <w:szCs w:val="24"/>
                <w:lang w:val="es-CO"/>
              </w:rPr>
              <w:t xml:space="preserve"> capítulo 5 “Crédito Constructor”, numeral 5.3.2 “Solicitud de Crédito Constructor”, </w:t>
            </w:r>
            <w:r w:rsidR="0012344A">
              <w:rPr>
                <w:rFonts w:cs="Arial"/>
                <w:sz w:val="24"/>
                <w:szCs w:val="24"/>
                <w:lang w:val="es-CO"/>
              </w:rPr>
              <w:t>del R</w:t>
            </w:r>
            <w:r w:rsidR="0012344A" w:rsidRPr="00945524">
              <w:rPr>
                <w:rFonts w:cs="Arial"/>
                <w:sz w:val="24"/>
                <w:szCs w:val="24"/>
                <w:lang w:val="es-CO"/>
              </w:rPr>
              <w:t xml:space="preserve">eglamento de CLH, </w:t>
            </w:r>
            <w:r w:rsidR="0012344A">
              <w:rPr>
                <w:rFonts w:cs="Arial"/>
                <w:sz w:val="24"/>
                <w:szCs w:val="24"/>
                <w:lang w:val="es-CO"/>
              </w:rPr>
              <w:t xml:space="preserve">en lo concerniente con la </w:t>
            </w:r>
            <w:r w:rsidR="0012344A" w:rsidRPr="00F10D00">
              <w:rPr>
                <w:rFonts w:cs="Arial"/>
                <w:sz w:val="24"/>
                <w:szCs w:val="24"/>
              </w:rPr>
              <w:t>Licencia de Construcción, Urbanismo y Ambiental requerida para la radicación de solicitudes de Crédito Constructor</w:t>
            </w:r>
            <w:r w:rsidR="0012344A">
              <w:rPr>
                <w:rFonts w:cs="Arial"/>
                <w:sz w:val="24"/>
                <w:szCs w:val="24"/>
              </w:rPr>
              <w:t xml:space="preserve">, en el sentido </w:t>
            </w:r>
            <w:r w:rsidR="001E2E45">
              <w:rPr>
                <w:rFonts w:cs="Arial"/>
                <w:sz w:val="24"/>
                <w:szCs w:val="24"/>
              </w:rPr>
              <w:t>de es</w:t>
            </w:r>
            <w:proofErr w:type="spellStart"/>
            <w:r w:rsidR="00945524" w:rsidRPr="00945524">
              <w:rPr>
                <w:rFonts w:cs="Arial"/>
                <w:sz w:val="24"/>
                <w:szCs w:val="24"/>
                <w:lang w:val="es-CO"/>
              </w:rPr>
              <w:t>tablece</w:t>
            </w:r>
            <w:r w:rsidR="001E2E45">
              <w:rPr>
                <w:rFonts w:cs="Arial"/>
                <w:sz w:val="24"/>
                <w:szCs w:val="24"/>
                <w:lang w:val="es-CO"/>
              </w:rPr>
              <w:t>r</w:t>
            </w:r>
            <w:proofErr w:type="spellEnd"/>
            <w:r w:rsidR="00945524" w:rsidRPr="00945524">
              <w:rPr>
                <w:rFonts w:cs="Arial"/>
                <w:sz w:val="24"/>
                <w:szCs w:val="24"/>
                <w:lang w:val="es-CO"/>
              </w:rPr>
              <w:t xml:space="preserve"> que los proyectos de </w:t>
            </w:r>
            <w:r w:rsidR="00136207">
              <w:rPr>
                <w:rFonts w:cs="Arial"/>
                <w:sz w:val="24"/>
                <w:szCs w:val="24"/>
                <w:lang w:val="es-CO"/>
              </w:rPr>
              <w:t>crédito constructor</w:t>
            </w:r>
            <w:r w:rsidR="00945524" w:rsidRPr="00945524">
              <w:rPr>
                <w:rFonts w:cs="Arial"/>
                <w:sz w:val="24"/>
                <w:szCs w:val="24"/>
                <w:lang w:val="es-CO"/>
              </w:rPr>
              <w:t xml:space="preserve"> deberán contar con la </w:t>
            </w:r>
            <w:r w:rsidR="00136207">
              <w:rPr>
                <w:rFonts w:cs="Arial"/>
                <w:sz w:val="24"/>
                <w:szCs w:val="24"/>
                <w:lang w:val="es-CO"/>
              </w:rPr>
              <w:t xml:space="preserve">respectiva </w:t>
            </w:r>
            <w:r w:rsidR="00945524" w:rsidRPr="00945524">
              <w:rPr>
                <w:rFonts w:cs="Arial"/>
                <w:sz w:val="24"/>
                <w:szCs w:val="24"/>
                <w:lang w:val="es-CO"/>
              </w:rPr>
              <w:t>licencia</w:t>
            </w:r>
            <w:r w:rsidR="00136207">
              <w:rPr>
                <w:rFonts w:cs="Arial"/>
                <w:sz w:val="24"/>
                <w:szCs w:val="24"/>
                <w:lang w:val="es-CO"/>
              </w:rPr>
              <w:t xml:space="preserve">, </w:t>
            </w:r>
            <w:r w:rsidR="00945524" w:rsidRPr="00945524">
              <w:rPr>
                <w:rFonts w:cs="Arial"/>
                <w:sz w:val="24"/>
                <w:szCs w:val="24"/>
                <w:lang w:val="es-CO"/>
              </w:rPr>
              <w:t>vigente al momento de la radicación de la solicitud. Para garantizar este requisito, se incorporan las condiciones detalladas en el parágrafo segundo.</w:t>
            </w:r>
          </w:p>
          <w:p w14:paraId="7D04F452" w14:textId="6B6D947F" w:rsidR="007624AE" w:rsidRPr="005F373C" w:rsidRDefault="007624AE" w:rsidP="007E1763">
            <w:pPr>
              <w:jc w:val="both"/>
              <w:rPr>
                <w:rFonts w:cs="Arial"/>
                <w:b/>
                <w:sz w:val="24"/>
                <w:szCs w:val="24"/>
              </w:rPr>
            </w:pPr>
            <w:r w:rsidRPr="005F373C">
              <w:rPr>
                <w:rFonts w:cs="Arial"/>
                <w:sz w:val="24"/>
                <w:szCs w:val="24"/>
              </w:rPr>
              <w:br/>
            </w:r>
            <w:r w:rsidRPr="005F373C">
              <w:rPr>
                <w:rFonts w:cs="Arial"/>
                <w:b/>
                <w:sz w:val="24"/>
                <w:szCs w:val="24"/>
              </w:rPr>
              <w:t xml:space="preserve">AMBITO DE APLICACIÓN DEL RESPECTIVO ACTO Y SUJETO A QUIEN VA DIRIGIDO: </w:t>
            </w:r>
            <w:r w:rsidRPr="005F373C">
              <w:rPr>
                <w:rFonts w:cs="Arial"/>
                <w:sz w:val="24"/>
                <w:szCs w:val="24"/>
              </w:rPr>
              <w:t xml:space="preserve">El proyecto va dirigido </w:t>
            </w:r>
            <w:r w:rsidR="007E1763" w:rsidRPr="005F373C">
              <w:rPr>
                <w:sz w:val="24"/>
                <w:szCs w:val="24"/>
              </w:rPr>
              <w:t xml:space="preserve">a </w:t>
            </w:r>
            <w:r w:rsidR="00945524">
              <w:rPr>
                <w:sz w:val="24"/>
                <w:szCs w:val="24"/>
              </w:rPr>
              <w:t>tod</w:t>
            </w:r>
            <w:r w:rsidR="00136207">
              <w:rPr>
                <w:sz w:val="24"/>
                <w:szCs w:val="24"/>
              </w:rPr>
              <w:t>os los sujetos de crédito constructor.</w:t>
            </w:r>
          </w:p>
        </w:tc>
      </w:tr>
      <w:tr w:rsidR="00A56AE8" w:rsidRPr="001234DE" w14:paraId="2972569C" w14:textId="77777777" w:rsidTr="009C2732">
        <w:trPr>
          <w:trHeight w:val="511"/>
        </w:trPr>
        <w:tc>
          <w:tcPr>
            <w:tcW w:w="8977" w:type="dxa"/>
          </w:tcPr>
          <w:p w14:paraId="5C6468AC" w14:textId="136E0054" w:rsidR="00E264C1" w:rsidRPr="005F373C" w:rsidRDefault="00AA6BD0" w:rsidP="006640F3">
            <w:pPr>
              <w:rPr>
                <w:rFonts w:cs="Arial"/>
                <w:bCs/>
                <w:sz w:val="24"/>
                <w:szCs w:val="24"/>
              </w:rPr>
            </w:pPr>
            <w:r w:rsidRPr="005F373C">
              <w:rPr>
                <w:rFonts w:cs="Arial"/>
                <w:b/>
                <w:sz w:val="24"/>
                <w:szCs w:val="24"/>
              </w:rPr>
              <w:t>IMPACTO ECONÓMICO</w:t>
            </w:r>
            <w:r w:rsidR="005203A3" w:rsidRPr="005F373C">
              <w:rPr>
                <w:rFonts w:cs="Arial"/>
                <w:bCs/>
                <w:sz w:val="24"/>
                <w:szCs w:val="24"/>
              </w:rPr>
              <w:t>:</w:t>
            </w:r>
            <w:r w:rsidRPr="005F373C">
              <w:rPr>
                <w:rFonts w:cs="Arial"/>
                <w:bCs/>
                <w:sz w:val="24"/>
                <w:szCs w:val="24"/>
              </w:rPr>
              <w:t xml:space="preserve"> </w:t>
            </w:r>
            <w:r w:rsidR="006640F3" w:rsidRPr="005F373C">
              <w:rPr>
                <w:sz w:val="24"/>
                <w:szCs w:val="24"/>
              </w:rPr>
              <w:t xml:space="preserve"> </w:t>
            </w:r>
            <w:r w:rsidR="008E1EC4" w:rsidRPr="005F373C">
              <w:rPr>
                <w:rFonts w:cs="Arial"/>
                <w:sz w:val="24"/>
                <w:szCs w:val="24"/>
              </w:rPr>
              <w:t xml:space="preserve"> Para esta versión del Reglamento, no se identifican impactos económicos para la Sociedad</w:t>
            </w:r>
            <w:r w:rsidR="00B04AFD">
              <w:rPr>
                <w:rFonts w:cs="Arial"/>
                <w:sz w:val="24"/>
                <w:szCs w:val="24"/>
              </w:rPr>
              <w:t>.</w:t>
            </w:r>
          </w:p>
          <w:p w14:paraId="13AB308D" w14:textId="77777777" w:rsidR="00974BC6" w:rsidRPr="005F373C"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5F373C" w:rsidRDefault="00DC41F0" w:rsidP="009C2732">
            <w:pPr>
              <w:rPr>
                <w:rFonts w:cs="Arial"/>
                <w:sz w:val="24"/>
                <w:szCs w:val="24"/>
              </w:rPr>
            </w:pPr>
            <w:r w:rsidRPr="005F373C">
              <w:rPr>
                <w:rFonts w:cs="Arial"/>
                <w:b/>
                <w:sz w:val="24"/>
                <w:szCs w:val="24"/>
              </w:rPr>
              <w:t xml:space="preserve">DISPONIBILIDAD PRESUPUESTAL. </w:t>
            </w:r>
            <w:r w:rsidR="00B6674F" w:rsidRPr="005F373C">
              <w:rPr>
                <w:rFonts w:cs="Arial"/>
                <w:sz w:val="24"/>
                <w:szCs w:val="24"/>
              </w:rPr>
              <w:t xml:space="preserve">No aplica </w:t>
            </w:r>
          </w:p>
          <w:p w14:paraId="718E8048" w14:textId="77777777" w:rsidR="00D41EE3" w:rsidRPr="005F373C"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5F373C" w:rsidRDefault="00AA6BD0" w:rsidP="009C2732">
            <w:pPr>
              <w:rPr>
                <w:rFonts w:cs="Arial"/>
                <w:sz w:val="24"/>
                <w:szCs w:val="24"/>
              </w:rPr>
            </w:pPr>
            <w:r w:rsidRPr="005F373C">
              <w:rPr>
                <w:rFonts w:cs="Arial"/>
                <w:b/>
                <w:sz w:val="24"/>
                <w:szCs w:val="24"/>
              </w:rPr>
              <w:t>IMPACTO MEDIO</w:t>
            </w:r>
            <w:r w:rsidR="00FD1F60" w:rsidRPr="005F373C">
              <w:rPr>
                <w:rFonts w:cs="Arial"/>
                <w:b/>
                <w:sz w:val="24"/>
                <w:szCs w:val="24"/>
              </w:rPr>
              <w:t xml:space="preserve"> </w:t>
            </w:r>
            <w:r w:rsidRPr="005F373C">
              <w:rPr>
                <w:rFonts w:cs="Arial"/>
                <w:b/>
                <w:sz w:val="24"/>
                <w:szCs w:val="24"/>
              </w:rPr>
              <w:t>AMBIENTAL O SOBRE EL PATRIMONIO CULTURAL DE LA NACIÓN</w:t>
            </w:r>
            <w:r w:rsidR="0021642F" w:rsidRPr="005F373C">
              <w:rPr>
                <w:rFonts w:cs="Arial"/>
                <w:b/>
                <w:sz w:val="24"/>
                <w:szCs w:val="24"/>
              </w:rPr>
              <w:t xml:space="preserve">. </w:t>
            </w:r>
            <w:r w:rsidR="00987547" w:rsidRPr="005F373C">
              <w:rPr>
                <w:rFonts w:cs="Arial"/>
                <w:sz w:val="24"/>
                <w:szCs w:val="24"/>
              </w:rPr>
              <w:t>No aplica</w:t>
            </w:r>
          </w:p>
          <w:p w14:paraId="62BE593B" w14:textId="77777777" w:rsidR="00D41EE3" w:rsidRPr="005F373C"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5F373C" w:rsidRDefault="00D41EE3" w:rsidP="009C2732">
            <w:pPr>
              <w:rPr>
                <w:rFonts w:cs="Arial"/>
                <w:b/>
                <w:sz w:val="24"/>
                <w:szCs w:val="24"/>
              </w:rPr>
            </w:pPr>
          </w:p>
          <w:p w14:paraId="2507BBAA" w14:textId="77777777" w:rsidR="007E1763" w:rsidRPr="005F373C" w:rsidRDefault="00AA6BD0" w:rsidP="00041520">
            <w:pPr>
              <w:jc w:val="both"/>
              <w:rPr>
                <w:rFonts w:cs="Arial"/>
                <w:sz w:val="24"/>
                <w:szCs w:val="24"/>
              </w:rPr>
            </w:pPr>
            <w:r w:rsidRPr="005F373C">
              <w:rPr>
                <w:rFonts w:cs="Arial"/>
                <w:b/>
                <w:sz w:val="24"/>
                <w:szCs w:val="24"/>
              </w:rPr>
              <w:t>CUMPLIMIENTO DE LOS REQUISITOS DE CONSULTA Y PUBLICIDAD</w:t>
            </w:r>
            <w:r w:rsidRPr="005F373C">
              <w:rPr>
                <w:rFonts w:cs="Arial"/>
                <w:sz w:val="24"/>
                <w:szCs w:val="24"/>
              </w:rPr>
              <w:t xml:space="preserve">: </w:t>
            </w:r>
          </w:p>
          <w:p w14:paraId="7BE65E7B" w14:textId="245A6C7E" w:rsidR="00C65C5D" w:rsidRPr="005F373C" w:rsidRDefault="007E1763" w:rsidP="00041520">
            <w:pPr>
              <w:jc w:val="both"/>
              <w:rPr>
                <w:rFonts w:cs="Arial"/>
                <w:sz w:val="24"/>
                <w:szCs w:val="24"/>
              </w:rPr>
            </w:pPr>
            <w:r w:rsidRPr="005F373C">
              <w:rPr>
                <w:rFonts w:cs="Arial"/>
                <w:sz w:val="24"/>
                <w:szCs w:val="24"/>
              </w:rPr>
              <w:t>La publicación para comentarios de la ciudadanía está pendiente, dado que se trata de una modificación al reglamento.</w:t>
            </w:r>
          </w:p>
        </w:tc>
      </w:tr>
      <w:tr w:rsidR="00A971D7" w:rsidRPr="001234DE" w14:paraId="310BCA50" w14:textId="77777777" w:rsidTr="009C2732">
        <w:trPr>
          <w:trHeight w:val="701"/>
        </w:trPr>
        <w:tc>
          <w:tcPr>
            <w:tcW w:w="8977" w:type="dxa"/>
          </w:tcPr>
          <w:p w14:paraId="19E6803C" w14:textId="77777777" w:rsidR="00207284" w:rsidRPr="005F373C" w:rsidRDefault="00207284" w:rsidP="009C2732">
            <w:pPr>
              <w:rPr>
                <w:rFonts w:cs="Arial"/>
                <w:b/>
                <w:sz w:val="24"/>
                <w:szCs w:val="24"/>
              </w:rPr>
            </w:pPr>
          </w:p>
          <w:p w14:paraId="3AD24E1F" w14:textId="1A7D6C81" w:rsidR="009F5EF8" w:rsidRPr="005F373C" w:rsidRDefault="00D460FA" w:rsidP="00E02E43">
            <w:pPr>
              <w:rPr>
                <w:rFonts w:cs="Arial"/>
                <w:b/>
                <w:sz w:val="24"/>
                <w:szCs w:val="24"/>
              </w:rPr>
            </w:pPr>
            <w:r w:rsidRPr="005F373C">
              <w:rPr>
                <w:rFonts w:cs="Arial"/>
                <w:b/>
                <w:sz w:val="24"/>
                <w:szCs w:val="24"/>
              </w:rPr>
              <w:t>COMENTARIOS DE LOS CIUDADANOS</w:t>
            </w:r>
            <w:r w:rsidR="004F7BFB" w:rsidRPr="005F373C">
              <w:rPr>
                <w:rFonts w:cs="Arial"/>
                <w:sz w:val="24"/>
                <w:szCs w:val="24"/>
              </w:rPr>
              <w:t xml:space="preserve">. </w:t>
            </w:r>
            <w:r w:rsidR="00136207" w:rsidRPr="00136207">
              <w:rPr>
                <w:rFonts w:cs="Arial"/>
                <w:sz w:val="24"/>
                <w:szCs w:val="24"/>
              </w:rPr>
              <w:t xml:space="preserve">Se publica para comentarios de la ciudadanía </w:t>
            </w:r>
            <w:r w:rsidR="00136207" w:rsidRPr="00136207">
              <w:rPr>
                <w:rFonts w:cs="Arial"/>
                <w:sz w:val="24"/>
                <w:szCs w:val="24"/>
              </w:rPr>
              <w:t>del 10</w:t>
            </w:r>
            <w:r w:rsidR="00136207" w:rsidRPr="00136207">
              <w:rPr>
                <w:rFonts w:cs="Arial"/>
                <w:sz w:val="24"/>
                <w:szCs w:val="24"/>
              </w:rPr>
              <w:t xml:space="preserve">      al     </w:t>
            </w:r>
            <w:r w:rsidR="00136207">
              <w:rPr>
                <w:rFonts w:cs="Arial"/>
                <w:sz w:val="24"/>
                <w:szCs w:val="24"/>
              </w:rPr>
              <w:t xml:space="preserve">18 </w:t>
            </w:r>
            <w:r w:rsidR="00136207" w:rsidRPr="00136207">
              <w:rPr>
                <w:rFonts w:cs="Arial"/>
                <w:sz w:val="24"/>
                <w:szCs w:val="24"/>
              </w:rPr>
              <w:t xml:space="preserve">de </w:t>
            </w:r>
            <w:r w:rsidR="00136207">
              <w:rPr>
                <w:rFonts w:cs="Arial"/>
                <w:sz w:val="24"/>
                <w:szCs w:val="24"/>
              </w:rPr>
              <w:t xml:space="preserve">diciembre </w:t>
            </w:r>
            <w:r w:rsidR="00136207" w:rsidRPr="00136207">
              <w:rPr>
                <w:rFonts w:cs="Arial"/>
                <w:sz w:val="24"/>
                <w:szCs w:val="24"/>
              </w:rPr>
              <w:t>de 2025.</w:t>
            </w:r>
          </w:p>
        </w:tc>
      </w:tr>
      <w:tr w:rsidR="00A56AE8" w:rsidRPr="001234DE" w14:paraId="0D3D8009" w14:textId="77777777" w:rsidTr="002D368B">
        <w:trPr>
          <w:trHeight w:val="421"/>
        </w:trPr>
        <w:tc>
          <w:tcPr>
            <w:tcW w:w="8977" w:type="dxa"/>
          </w:tcPr>
          <w:p w14:paraId="2C5D2ABE" w14:textId="77777777" w:rsidR="00A56AE8" w:rsidRPr="005F373C" w:rsidRDefault="00AA6BD0" w:rsidP="009C2732">
            <w:pPr>
              <w:jc w:val="both"/>
              <w:rPr>
                <w:rFonts w:cs="Arial"/>
                <w:sz w:val="24"/>
                <w:szCs w:val="24"/>
              </w:rPr>
            </w:pPr>
            <w:r w:rsidRPr="005F373C">
              <w:rPr>
                <w:rFonts w:cs="Arial"/>
                <w:b/>
                <w:sz w:val="24"/>
                <w:szCs w:val="24"/>
              </w:rPr>
              <w:t>ASPECTOS ADICIONALES IMPORTANTES:</w:t>
            </w:r>
            <w:r w:rsidR="00207284" w:rsidRPr="005F373C">
              <w:rPr>
                <w:rFonts w:cs="Arial"/>
                <w:b/>
                <w:sz w:val="24"/>
                <w:szCs w:val="24"/>
              </w:rPr>
              <w:t xml:space="preserve"> </w:t>
            </w:r>
            <w:r w:rsidR="00207284" w:rsidRPr="005F373C">
              <w:rPr>
                <w:rFonts w:cs="Arial"/>
                <w:sz w:val="24"/>
                <w:szCs w:val="24"/>
              </w:rPr>
              <w:t>No aplica</w:t>
            </w:r>
          </w:p>
        </w:tc>
      </w:tr>
      <w:tr w:rsidR="00163713" w:rsidRPr="001234DE" w14:paraId="4A1276E3" w14:textId="77777777" w:rsidTr="008E1EC4">
        <w:trPr>
          <w:trHeight w:val="909"/>
        </w:trPr>
        <w:tc>
          <w:tcPr>
            <w:tcW w:w="8977" w:type="dxa"/>
          </w:tcPr>
          <w:p w14:paraId="564C0BBA" w14:textId="6496089D" w:rsidR="003D7DC6" w:rsidRPr="005F373C" w:rsidRDefault="00163713" w:rsidP="008E1EC4">
            <w:pPr>
              <w:jc w:val="both"/>
              <w:rPr>
                <w:rFonts w:cs="Arial"/>
                <w:sz w:val="24"/>
                <w:szCs w:val="24"/>
              </w:rPr>
            </w:pPr>
            <w:r w:rsidRPr="005F373C">
              <w:rPr>
                <w:rFonts w:cs="Arial"/>
                <w:b/>
                <w:sz w:val="24"/>
                <w:szCs w:val="24"/>
              </w:rPr>
              <w:t>IMPACTO QUE TENDRÁ EN LA SEGURIDAD JURÍDICA</w:t>
            </w:r>
          </w:p>
          <w:p w14:paraId="232AF809" w14:textId="77777777" w:rsidR="002640C5" w:rsidRPr="005F373C" w:rsidRDefault="002640C5" w:rsidP="008E1EC4">
            <w:pPr>
              <w:jc w:val="both"/>
              <w:rPr>
                <w:rFonts w:cs="Arial"/>
                <w:sz w:val="24"/>
                <w:szCs w:val="24"/>
              </w:rPr>
            </w:pPr>
          </w:p>
          <w:p w14:paraId="66DF7C8D" w14:textId="77777777" w:rsidR="002640C5" w:rsidRPr="005F373C" w:rsidRDefault="002640C5" w:rsidP="008E1EC4">
            <w:pPr>
              <w:jc w:val="both"/>
              <w:rPr>
                <w:rFonts w:cs="Arial"/>
                <w:sz w:val="24"/>
                <w:szCs w:val="24"/>
              </w:rPr>
            </w:pPr>
            <w:r w:rsidRPr="005F373C">
              <w:rPr>
                <w:rFonts w:cs="Arial"/>
                <w:sz w:val="24"/>
                <w:szCs w:val="24"/>
              </w:rPr>
              <w:t>Como se trata de un reglamento de producto debe estar acorde con las necesidades de la operación, razón por la cual se modifica constantemente.</w:t>
            </w:r>
          </w:p>
          <w:p w14:paraId="04DA699E" w14:textId="42A32D96" w:rsidR="005F373C" w:rsidRPr="005F373C" w:rsidRDefault="005F373C" w:rsidP="008E1EC4">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F9E9" w14:textId="77777777" w:rsidR="00F611C4" w:rsidRDefault="00F611C4" w:rsidP="00143CFA">
      <w:r>
        <w:separator/>
      </w:r>
    </w:p>
  </w:endnote>
  <w:endnote w:type="continuationSeparator" w:id="0">
    <w:p w14:paraId="5EA53180" w14:textId="77777777" w:rsidR="00F611C4" w:rsidRDefault="00F611C4"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9133" w14:textId="77777777" w:rsidR="00F611C4" w:rsidRDefault="00F611C4" w:rsidP="00143CFA">
      <w:r>
        <w:separator/>
      </w:r>
    </w:p>
  </w:footnote>
  <w:footnote w:type="continuationSeparator" w:id="0">
    <w:p w14:paraId="50852354" w14:textId="77777777" w:rsidR="00F611C4" w:rsidRDefault="00F611C4"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C0E059A"/>
    <w:multiLevelType w:val="multilevel"/>
    <w:tmpl w:val="0B5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1"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2"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3"/>
  </w:num>
  <w:num w:numId="4" w16cid:durableId="1737513492">
    <w:abstractNumId w:val="1"/>
  </w:num>
  <w:num w:numId="5" w16cid:durableId="1307472083">
    <w:abstractNumId w:val="15"/>
  </w:num>
  <w:num w:numId="6" w16cid:durableId="1789423090">
    <w:abstractNumId w:val="7"/>
  </w:num>
  <w:num w:numId="7" w16cid:durableId="630214083">
    <w:abstractNumId w:val="0"/>
  </w:num>
  <w:num w:numId="8" w16cid:durableId="517812840">
    <w:abstractNumId w:val="5"/>
  </w:num>
  <w:num w:numId="9" w16cid:durableId="209727148">
    <w:abstractNumId w:val="11"/>
  </w:num>
  <w:num w:numId="10" w16cid:durableId="1246190414">
    <w:abstractNumId w:val="2"/>
  </w:num>
  <w:num w:numId="11" w16cid:durableId="321586350">
    <w:abstractNumId w:val="12"/>
  </w:num>
  <w:num w:numId="12" w16cid:durableId="115415875">
    <w:abstractNumId w:val="9"/>
  </w:num>
  <w:num w:numId="13" w16cid:durableId="2055809415">
    <w:abstractNumId w:val="16"/>
  </w:num>
  <w:num w:numId="14" w16cid:durableId="1407607863">
    <w:abstractNumId w:val="3"/>
  </w:num>
  <w:num w:numId="15" w16cid:durableId="1695424862">
    <w:abstractNumId w:val="14"/>
  </w:num>
  <w:num w:numId="16" w16cid:durableId="2005012858">
    <w:abstractNumId w:val="10"/>
  </w:num>
  <w:num w:numId="17" w16cid:durableId="91490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27ED9"/>
    <w:rsid w:val="000349BD"/>
    <w:rsid w:val="00041520"/>
    <w:rsid w:val="00043A65"/>
    <w:rsid w:val="00071D89"/>
    <w:rsid w:val="00071DE6"/>
    <w:rsid w:val="00075202"/>
    <w:rsid w:val="0008483B"/>
    <w:rsid w:val="00086658"/>
    <w:rsid w:val="00086DEF"/>
    <w:rsid w:val="00087E44"/>
    <w:rsid w:val="0009232C"/>
    <w:rsid w:val="000A5573"/>
    <w:rsid w:val="000A5C7C"/>
    <w:rsid w:val="000A688D"/>
    <w:rsid w:val="000A6A5D"/>
    <w:rsid w:val="000B6E31"/>
    <w:rsid w:val="000C0477"/>
    <w:rsid w:val="000D307B"/>
    <w:rsid w:val="000D6A3A"/>
    <w:rsid w:val="000E4666"/>
    <w:rsid w:val="000F4094"/>
    <w:rsid w:val="000F626D"/>
    <w:rsid w:val="001004FD"/>
    <w:rsid w:val="00117EC6"/>
    <w:rsid w:val="0012344A"/>
    <w:rsid w:val="001234DE"/>
    <w:rsid w:val="00124E37"/>
    <w:rsid w:val="00126DC0"/>
    <w:rsid w:val="00136207"/>
    <w:rsid w:val="00140271"/>
    <w:rsid w:val="00143CFA"/>
    <w:rsid w:val="001539F1"/>
    <w:rsid w:val="00154CEB"/>
    <w:rsid w:val="0016136C"/>
    <w:rsid w:val="00163713"/>
    <w:rsid w:val="00170BC2"/>
    <w:rsid w:val="001745EE"/>
    <w:rsid w:val="001952CF"/>
    <w:rsid w:val="00195BC5"/>
    <w:rsid w:val="001A3EA1"/>
    <w:rsid w:val="001A4576"/>
    <w:rsid w:val="001B1576"/>
    <w:rsid w:val="001B79B9"/>
    <w:rsid w:val="001C2E4F"/>
    <w:rsid w:val="001D02CA"/>
    <w:rsid w:val="001D1922"/>
    <w:rsid w:val="001D75A9"/>
    <w:rsid w:val="001E2E45"/>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4060B"/>
    <w:rsid w:val="00253C2F"/>
    <w:rsid w:val="00255812"/>
    <w:rsid w:val="002640C5"/>
    <w:rsid w:val="002734B4"/>
    <w:rsid w:val="00273EC7"/>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0B3C"/>
    <w:rsid w:val="002F162D"/>
    <w:rsid w:val="002F1B64"/>
    <w:rsid w:val="002F5EFD"/>
    <w:rsid w:val="002F783D"/>
    <w:rsid w:val="0031161F"/>
    <w:rsid w:val="003212C6"/>
    <w:rsid w:val="00323C80"/>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0A77"/>
    <w:rsid w:val="004B43C9"/>
    <w:rsid w:val="004B5406"/>
    <w:rsid w:val="004C3261"/>
    <w:rsid w:val="004C62A1"/>
    <w:rsid w:val="004D2607"/>
    <w:rsid w:val="004D31B3"/>
    <w:rsid w:val="004D37CF"/>
    <w:rsid w:val="004E675F"/>
    <w:rsid w:val="004E6DAB"/>
    <w:rsid w:val="004F6C68"/>
    <w:rsid w:val="004F6F40"/>
    <w:rsid w:val="004F79F8"/>
    <w:rsid w:val="004F7BFB"/>
    <w:rsid w:val="00503665"/>
    <w:rsid w:val="00512DAC"/>
    <w:rsid w:val="00514F8B"/>
    <w:rsid w:val="005164D3"/>
    <w:rsid w:val="0051785D"/>
    <w:rsid w:val="005203A3"/>
    <w:rsid w:val="005359D2"/>
    <w:rsid w:val="0054053C"/>
    <w:rsid w:val="0054346D"/>
    <w:rsid w:val="0054348B"/>
    <w:rsid w:val="005460B1"/>
    <w:rsid w:val="00551362"/>
    <w:rsid w:val="00557544"/>
    <w:rsid w:val="00560FDF"/>
    <w:rsid w:val="00567D0D"/>
    <w:rsid w:val="00572C47"/>
    <w:rsid w:val="0057658E"/>
    <w:rsid w:val="00576C5D"/>
    <w:rsid w:val="005830B0"/>
    <w:rsid w:val="005848E1"/>
    <w:rsid w:val="005902B8"/>
    <w:rsid w:val="005B341E"/>
    <w:rsid w:val="005B4545"/>
    <w:rsid w:val="005D565A"/>
    <w:rsid w:val="005E1700"/>
    <w:rsid w:val="005F1A82"/>
    <w:rsid w:val="005F2F6A"/>
    <w:rsid w:val="005F373C"/>
    <w:rsid w:val="00606EC1"/>
    <w:rsid w:val="00615C52"/>
    <w:rsid w:val="00625598"/>
    <w:rsid w:val="00630129"/>
    <w:rsid w:val="0063062B"/>
    <w:rsid w:val="00634B7E"/>
    <w:rsid w:val="00636640"/>
    <w:rsid w:val="00654C59"/>
    <w:rsid w:val="006640F3"/>
    <w:rsid w:val="00665481"/>
    <w:rsid w:val="006724D0"/>
    <w:rsid w:val="00682076"/>
    <w:rsid w:val="00691602"/>
    <w:rsid w:val="00691EF3"/>
    <w:rsid w:val="00692C91"/>
    <w:rsid w:val="006A18B7"/>
    <w:rsid w:val="006A5650"/>
    <w:rsid w:val="006A69AD"/>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624AE"/>
    <w:rsid w:val="00773CCB"/>
    <w:rsid w:val="00775564"/>
    <w:rsid w:val="0077692F"/>
    <w:rsid w:val="00783B7F"/>
    <w:rsid w:val="007857C7"/>
    <w:rsid w:val="007913FA"/>
    <w:rsid w:val="00797504"/>
    <w:rsid w:val="00797689"/>
    <w:rsid w:val="007977EC"/>
    <w:rsid w:val="0079791B"/>
    <w:rsid w:val="007A35B2"/>
    <w:rsid w:val="007A52EF"/>
    <w:rsid w:val="007A5D5B"/>
    <w:rsid w:val="007B1454"/>
    <w:rsid w:val="007B7260"/>
    <w:rsid w:val="007C15D1"/>
    <w:rsid w:val="007D2AFD"/>
    <w:rsid w:val="007D7FA8"/>
    <w:rsid w:val="007E02FA"/>
    <w:rsid w:val="007E1763"/>
    <w:rsid w:val="007E3A43"/>
    <w:rsid w:val="00806194"/>
    <w:rsid w:val="0080796C"/>
    <w:rsid w:val="00812BF0"/>
    <w:rsid w:val="00820668"/>
    <w:rsid w:val="00820CEA"/>
    <w:rsid w:val="008240B3"/>
    <w:rsid w:val="008271C7"/>
    <w:rsid w:val="008278FE"/>
    <w:rsid w:val="008310B7"/>
    <w:rsid w:val="00835ABF"/>
    <w:rsid w:val="00836BC0"/>
    <w:rsid w:val="0084449A"/>
    <w:rsid w:val="008470B4"/>
    <w:rsid w:val="00847DB3"/>
    <w:rsid w:val="00850C37"/>
    <w:rsid w:val="00851231"/>
    <w:rsid w:val="008516AF"/>
    <w:rsid w:val="00856371"/>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1EC4"/>
    <w:rsid w:val="008E287B"/>
    <w:rsid w:val="008E7685"/>
    <w:rsid w:val="008E782A"/>
    <w:rsid w:val="008F0293"/>
    <w:rsid w:val="008F28CD"/>
    <w:rsid w:val="008F4EA4"/>
    <w:rsid w:val="00902302"/>
    <w:rsid w:val="009034B5"/>
    <w:rsid w:val="00920C44"/>
    <w:rsid w:val="009453CC"/>
    <w:rsid w:val="00945524"/>
    <w:rsid w:val="00945744"/>
    <w:rsid w:val="009529CF"/>
    <w:rsid w:val="0095354B"/>
    <w:rsid w:val="00964A69"/>
    <w:rsid w:val="00967B07"/>
    <w:rsid w:val="009717A2"/>
    <w:rsid w:val="0097294C"/>
    <w:rsid w:val="00974BC6"/>
    <w:rsid w:val="009750D0"/>
    <w:rsid w:val="009863D0"/>
    <w:rsid w:val="00987547"/>
    <w:rsid w:val="00991807"/>
    <w:rsid w:val="009918A3"/>
    <w:rsid w:val="009925B3"/>
    <w:rsid w:val="009943CE"/>
    <w:rsid w:val="00996537"/>
    <w:rsid w:val="009A0DA1"/>
    <w:rsid w:val="009A4994"/>
    <w:rsid w:val="009A5665"/>
    <w:rsid w:val="009A6136"/>
    <w:rsid w:val="009A6494"/>
    <w:rsid w:val="009B2E90"/>
    <w:rsid w:val="009B2FA3"/>
    <w:rsid w:val="009C2732"/>
    <w:rsid w:val="009C2C35"/>
    <w:rsid w:val="009C50E4"/>
    <w:rsid w:val="009D0409"/>
    <w:rsid w:val="009D3535"/>
    <w:rsid w:val="009E0AC2"/>
    <w:rsid w:val="009F2809"/>
    <w:rsid w:val="009F39AB"/>
    <w:rsid w:val="009F5EF8"/>
    <w:rsid w:val="00A07164"/>
    <w:rsid w:val="00A13EA8"/>
    <w:rsid w:val="00A13F94"/>
    <w:rsid w:val="00A16F4D"/>
    <w:rsid w:val="00A204E1"/>
    <w:rsid w:val="00A25F07"/>
    <w:rsid w:val="00A3024E"/>
    <w:rsid w:val="00A31A6D"/>
    <w:rsid w:val="00A32696"/>
    <w:rsid w:val="00A37E65"/>
    <w:rsid w:val="00A40889"/>
    <w:rsid w:val="00A47F55"/>
    <w:rsid w:val="00A5167D"/>
    <w:rsid w:val="00A5441B"/>
    <w:rsid w:val="00A56AE8"/>
    <w:rsid w:val="00A57554"/>
    <w:rsid w:val="00A57862"/>
    <w:rsid w:val="00A606B7"/>
    <w:rsid w:val="00A66EFE"/>
    <w:rsid w:val="00A67106"/>
    <w:rsid w:val="00A675A8"/>
    <w:rsid w:val="00A67C5D"/>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1442"/>
    <w:rsid w:val="00AD4E6C"/>
    <w:rsid w:val="00AE359D"/>
    <w:rsid w:val="00AF3290"/>
    <w:rsid w:val="00AF3B7D"/>
    <w:rsid w:val="00B04AFD"/>
    <w:rsid w:val="00B113FC"/>
    <w:rsid w:val="00B2436C"/>
    <w:rsid w:val="00B31CD9"/>
    <w:rsid w:val="00B31D77"/>
    <w:rsid w:val="00B32843"/>
    <w:rsid w:val="00B34443"/>
    <w:rsid w:val="00B43803"/>
    <w:rsid w:val="00B44160"/>
    <w:rsid w:val="00B50175"/>
    <w:rsid w:val="00B5103A"/>
    <w:rsid w:val="00B6674F"/>
    <w:rsid w:val="00B67328"/>
    <w:rsid w:val="00B678A8"/>
    <w:rsid w:val="00B745C8"/>
    <w:rsid w:val="00B7510A"/>
    <w:rsid w:val="00B80AD2"/>
    <w:rsid w:val="00B85059"/>
    <w:rsid w:val="00B9196D"/>
    <w:rsid w:val="00B924F7"/>
    <w:rsid w:val="00BA111E"/>
    <w:rsid w:val="00BA13C5"/>
    <w:rsid w:val="00BA18B5"/>
    <w:rsid w:val="00BA3872"/>
    <w:rsid w:val="00BA532C"/>
    <w:rsid w:val="00BA5ECE"/>
    <w:rsid w:val="00BB2363"/>
    <w:rsid w:val="00BC09AF"/>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2509"/>
    <w:rsid w:val="00C47619"/>
    <w:rsid w:val="00C507D3"/>
    <w:rsid w:val="00C5602B"/>
    <w:rsid w:val="00C56CF4"/>
    <w:rsid w:val="00C64AC3"/>
    <w:rsid w:val="00C65C5D"/>
    <w:rsid w:val="00C668BC"/>
    <w:rsid w:val="00C71622"/>
    <w:rsid w:val="00C71F81"/>
    <w:rsid w:val="00C726F5"/>
    <w:rsid w:val="00C7549E"/>
    <w:rsid w:val="00C831AA"/>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32D6F"/>
    <w:rsid w:val="00D41EE3"/>
    <w:rsid w:val="00D460FA"/>
    <w:rsid w:val="00D56182"/>
    <w:rsid w:val="00D7033A"/>
    <w:rsid w:val="00D7047C"/>
    <w:rsid w:val="00D720C9"/>
    <w:rsid w:val="00D751DC"/>
    <w:rsid w:val="00D7791B"/>
    <w:rsid w:val="00D8316D"/>
    <w:rsid w:val="00D84B5A"/>
    <w:rsid w:val="00D855B5"/>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3B7B"/>
    <w:rsid w:val="00E63C2F"/>
    <w:rsid w:val="00E65736"/>
    <w:rsid w:val="00E873EB"/>
    <w:rsid w:val="00E90B83"/>
    <w:rsid w:val="00E92FC8"/>
    <w:rsid w:val="00E952F1"/>
    <w:rsid w:val="00E955ED"/>
    <w:rsid w:val="00E97E52"/>
    <w:rsid w:val="00EA3BD2"/>
    <w:rsid w:val="00EC5DBC"/>
    <w:rsid w:val="00EC72CE"/>
    <w:rsid w:val="00ED1835"/>
    <w:rsid w:val="00ED3D95"/>
    <w:rsid w:val="00ED704A"/>
    <w:rsid w:val="00ED71E6"/>
    <w:rsid w:val="00EE16A7"/>
    <w:rsid w:val="00EE3EC4"/>
    <w:rsid w:val="00EF151E"/>
    <w:rsid w:val="00F002F4"/>
    <w:rsid w:val="00F10A19"/>
    <w:rsid w:val="00F252C2"/>
    <w:rsid w:val="00F31EED"/>
    <w:rsid w:val="00F45DB9"/>
    <w:rsid w:val="00F46B7E"/>
    <w:rsid w:val="00F53D6F"/>
    <w:rsid w:val="00F611C4"/>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168AA-8833-4E2D-9B89-22BD855E4E5C}"/>
</file>

<file path=customXml/itemProps2.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3.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4.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3067</Characters>
  <Application>Microsoft Office Word</Application>
  <DocSecurity>0</DocSecurity>
  <Lines>80</Lines>
  <Paragraphs>30</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3</cp:revision>
  <cp:lastPrinted>2024-02-12T21:20:00Z</cp:lastPrinted>
  <dcterms:created xsi:type="dcterms:W3CDTF">2025-12-09T20:49:00Z</dcterms:created>
  <dcterms:modified xsi:type="dcterms:W3CDTF">2025-12-10T15:24:00Z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