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389D" w14:textId="77777777" w:rsidR="00145DAE" w:rsidRDefault="00145DAE" w:rsidP="001B71B5">
      <w:pPr>
        <w:rPr>
          <w:rFonts w:ascii="DIN 2014" w:hAnsi="DIN 2014"/>
          <w:szCs w:val="20"/>
        </w:rPr>
      </w:pPr>
    </w:p>
    <w:p w14:paraId="50F78FF1" w14:textId="77777777" w:rsidR="00145DAE" w:rsidRDefault="00145DAE" w:rsidP="00524FF4">
      <w:pPr>
        <w:jc w:val="center"/>
        <w:rPr>
          <w:rFonts w:ascii="DIN 2014" w:hAnsi="DIN 2014"/>
          <w:szCs w:val="20"/>
        </w:rPr>
      </w:pPr>
    </w:p>
    <w:p w14:paraId="2559F889" w14:textId="77777777" w:rsidR="00145DAE" w:rsidRPr="00DC23D5" w:rsidRDefault="00145DAE" w:rsidP="00524FF4">
      <w:pPr>
        <w:jc w:val="center"/>
        <w:rPr>
          <w:rFonts w:ascii="Arial" w:hAnsi="Arial"/>
          <w:b/>
          <w:szCs w:val="20"/>
          <w:lang w:val="es-MX"/>
        </w:rPr>
      </w:pPr>
      <w:r>
        <w:rPr>
          <w:rFonts w:ascii="Arial" w:hAnsi="Arial"/>
          <w:b/>
          <w:szCs w:val="20"/>
          <w:lang w:val="es-MX"/>
        </w:rPr>
        <w:t>LA JUNTA DIRECTIVA DEL FONDO NACIONAL DEL AHORRO S.A.,</w:t>
      </w:r>
    </w:p>
    <w:p w14:paraId="07A06921" w14:textId="77777777" w:rsidR="00145DAE" w:rsidRPr="00524FF4" w:rsidRDefault="00145DAE" w:rsidP="00524FF4">
      <w:pPr>
        <w:jc w:val="center"/>
        <w:rPr>
          <w:rFonts w:ascii="DIN 2014" w:hAnsi="DIN 2014"/>
          <w:szCs w:val="20"/>
        </w:rPr>
      </w:pPr>
    </w:p>
    <w:p w14:paraId="2FEDC3CC" w14:textId="2E54A381" w:rsidR="00145DAE" w:rsidRPr="00524FF4" w:rsidRDefault="00145DAE" w:rsidP="00524FF4">
      <w:pPr>
        <w:jc w:val="center"/>
        <w:rPr>
          <w:rFonts w:ascii="DIN 2014" w:hAnsi="DIN 2014"/>
          <w:szCs w:val="20"/>
        </w:rPr>
      </w:pPr>
      <w:r w:rsidRPr="00524FF4">
        <w:rPr>
          <w:rFonts w:ascii="DIN 2014" w:hAnsi="DIN 2014"/>
          <w:szCs w:val="20"/>
        </w:rPr>
        <w:t xml:space="preserve">En ejercicio de sus facultades legales y estatutarias </w:t>
      </w:r>
    </w:p>
    <w:p w14:paraId="4F7D3469" w14:textId="77777777" w:rsidR="00145DAE" w:rsidRDefault="00145DAE" w:rsidP="00524FF4">
      <w:pPr>
        <w:jc w:val="center"/>
        <w:rPr>
          <w:rFonts w:ascii="Arial" w:hAnsi="Arial" w:cs="Arial"/>
          <w:szCs w:val="20"/>
        </w:rPr>
      </w:pPr>
    </w:p>
    <w:p w14:paraId="11508F0B" w14:textId="77777777" w:rsidR="00145DAE" w:rsidRDefault="00145DAE" w:rsidP="00524FF4">
      <w:pPr>
        <w:ind w:right="44"/>
        <w:jc w:val="center"/>
        <w:rPr>
          <w:rFonts w:ascii="Arial" w:hAnsi="Arial" w:cs="Arial"/>
          <w:b/>
          <w:lang w:val="es-ES_tradnl"/>
        </w:rPr>
      </w:pPr>
      <w:r>
        <w:rPr>
          <w:rFonts w:ascii="Arial" w:hAnsi="Arial" w:cs="Arial"/>
          <w:b/>
          <w:lang w:val="es-ES_tradnl"/>
        </w:rPr>
        <w:t>CONSIDERANDO:</w:t>
      </w:r>
    </w:p>
    <w:p w14:paraId="5A8C45E0" w14:textId="77777777" w:rsidR="00145DAE" w:rsidRDefault="00145DAE" w:rsidP="00524FF4">
      <w:pPr>
        <w:ind w:right="44"/>
        <w:jc w:val="both"/>
        <w:rPr>
          <w:rFonts w:ascii="Arial" w:hAnsi="Arial" w:cs="Arial"/>
          <w:b/>
          <w:lang w:val="es-ES_tradnl"/>
        </w:rPr>
      </w:pPr>
    </w:p>
    <w:p w14:paraId="52619B02" w14:textId="79811F8E" w:rsidR="00145DAE" w:rsidRPr="00145DAE" w:rsidRDefault="00145DAE" w:rsidP="00524FF4">
      <w:pPr>
        <w:ind w:right="44"/>
        <w:jc w:val="both"/>
        <w:rPr>
          <w:rFonts w:ascii="DIN 2014" w:hAnsi="DIN 2014"/>
          <w:szCs w:val="20"/>
        </w:rPr>
      </w:pPr>
      <w:r w:rsidRPr="00145DAE">
        <w:rPr>
          <w:rFonts w:ascii="DIN 2014" w:hAnsi="DIN 2014"/>
          <w:szCs w:val="20"/>
        </w:rPr>
        <w:t>Que el Fondo Nacional del Ahorro S.A., Entidad creada en virtud del Decreto Ley 3118 de 1968 como establecimiento público, reorganizado por la Ley 342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No. 00411 del 06 de marzo de 2024 de la Notaría 71 del Círculo de Bogotá D.C., registrada en la Cámara de Comercio de Bogotá D.C., el 21 de marzo de 2024.</w:t>
      </w:r>
    </w:p>
    <w:p w14:paraId="05848681" w14:textId="77777777" w:rsidR="00145DAE" w:rsidRPr="00145DAE" w:rsidRDefault="00145DAE" w:rsidP="00524FF4">
      <w:pPr>
        <w:ind w:right="851"/>
        <w:jc w:val="center"/>
        <w:rPr>
          <w:rFonts w:ascii="DIN 2014" w:hAnsi="DIN 2014"/>
          <w:szCs w:val="20"/>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0"/>
      </w:tblGrid>
      <w:tr w:rsidR="00145DAE" w:rsidRPr="00145DAE" w14:paraId="5E223B34" w14:textId="77777777" w:rsidTr="00364263">
        <w:trPr>
          <w:trHeight w:val="960"/>
        </w:trPr>
        <w:tc>
          <w:tcPr>
            <w:tcW w:w="8850" w:type="dxa"/>
            <w:tcBorders>
              <w:top w:val="nil"/>
              <w:left w:val="nil"/>
              <w:bottom w:val="nil"/>
              <w:right w:val="nil"/>
            </w:tcBorders>
          </w:tcPr>
          <w:p w14:paraId="4828B01F" w14:textId="77777777" w:rsidR="00145DAE" w:rsidRPr="00145DAE" w:rsidRDefault="00145DAE" w:rsidP="00524FF4">
            <w:pPr>
              <w:jc w:val="both"/>
              <w:rPr>
                <w:rFonts w:ascii="DIN 2014" w:hAnsi="DIN 2014"/>
                <w:szCs w:val="20"/>
              </w:rPr>
            </w:pPr>
            <w:r w:rsidRPr="00145DAE">
              <w:rPr>
                <w:rFonts w:ascii="DIN 2014" w:hAnsi="DIN 2014"/>
                <w:szCs w:val="20"/>
              </w:rPr>
              <w:t>Que el artículo segundo de la Ley 432 de 1998 señala como objeto del FONDO NACIONAL DEL AHORRO S.A.,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p>
          <w:p w14:paraId="5BF96403" w14:textId="77777777" w:rsidR="00145DAE" w:rsidRPr="00145DAE" w:rsidRDefault="00145DAE" w:rsidP="00524FF4">
            <w:pPr>
              <w:jc w:val="both"/>
              <w:rPr>
                <w:rFonts w:ascii="DIN 2014" w:hAnsi="DIN 2014"/>
                <w:szCs w:val="20"/>
              </w:rPr>
            </w:pPr>
          </w:p>
          <w:p w14:paraId="097E9D43" w14:textId="77777777" w:rsidR="00145DAE" w:rsidRPr="00145DAE" w:rsidRDefault="00145DAE" w:rsidP="00524FF4">
            <w:pPr>
              <w:jc w:val="both"/>
              <w:rPr>
                <w:rFonts w:ascii="DIN 2014" w:hAnsi="DIN 2014"/>
                <w:szCs w:val="20"/>
              </w:rPr>
            </w:pPr>
            <w:r w:rsidRPr="00145DAE">
              <w:rPr>
                <w:rFonts w:ascii="DIN 2014" w:hAnsi="DIN 2014"/>
                <w:szCs w:val="20"/>
              </w:rPr>
              <w:t>Que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5963C278" w14:textId="69A49161" w:rsidR="00145DAE" w:rsidRPr="00145DAE" w:rsidRDefault="00145DAE" w:rsidP="00524FF4">
            <w:pPr>
              <w:tabs>
                <w:tab w:val="left" w:pos="3706"/>
              </w:tabs>
              <w:jc w:val="both"/>
              <w:rPr>
                <w:rFonts w:ascii="DIN 2014" w:hAnsi="DIN 2014"/>
                <w:szCs w:val="20"/>
              </w:rPr>
            </w:pPr>
          </w:p>
          <w:p w14:paraId="63285919" w14:textId="77777777" w:rsidR="00145DAE" w:rsidRPr="00145DAE" w:rsidRDefault="00145DAE" w:rsidP="00524FF4">
            <w:pPr>
              <w:jc w:val="both"/>
              <w:rPr>
                <w:rFonts w:ascii="DIN 2014" w:hAnsi="DIN 2014"/>
                <w:szCs w:val="20"/>
              </w:rPr>
            </w:pPr>
            <w:r w:rsidRPr="00145DAE">
              <w:rPr>
                <w:rFonts w:ascii="DIN 2014" w:hAnsi="DIN 2014"/>
                <w:szCs w:val="20"/>
              </w:rPr>
              <w:t>Que el parágrafo del artículo primero de la Ley 546 de 1999, por la cual se dictan normas en materia de vivienda, establece que el FONDO NACIONAL DEL AHORRO S.A., podrá otorgar créditos de vivienda denominados en moneda legal colombiana o en unidades de valor real (UVR), con las características y condiciones que apruebe su respectivo órgano de dirección, siempre que los sistemas de amortización no contemplen la capitalización de intereses ni se impongan sanciones por prepagos totales o parciales.</w:t>
            </w:r>
          </w:p>
          <w:p w14:paraId="1DEEF651" w14:textId="77777777" w:rsidR="00145DAE" w:rsidRPr="00145DAE" w:rsidRDefault="00145DAE" w:rsidP="00524FF4">
            <w:pPr>
              <w:jc w:val="both"/>
              <w:rPr>
                <w:rFonts w:ascii="DIN 2014" w:hAnsi="DIN 2014"/>
                <w:szCs w:val="20"/>
              </w:rPr>
            </w:pPr>
          </w:p>
          <w:p w14:paraId="736C39EB" w14:textId="77777777" w:rsidR="00145DAE" w:rsidRPr="00145DAE" w:rsidRDefault="00145DAE" w:rsidP="00524FF4">
            <w:pPr>
              <w:pStyle w:val="Textoindependiente2"/>
              <w:spacing w:after="0" w:line="240" w:lineRule="auto"/>
              <w:jc w:val="both"/>
              <w:rPr>
                <w:rFonts w:ascii="DIN 2014" w:hAnsi="DIN 2014"/>
                <w:szCs w:val="20"/>
              </w:rPr>
            </w:pPr>
            <w:r w:rsidRPr="00145DAE">
              <w:rPr>
                <w:rFonts w:ascii="DIN 2014" w:hAnsi="DIN 2014"/>
                <w:szCs w:val="20"/>
              </w:rPr>
              <w:t>Que el parágrafo segundo del artículo primero de la Ley 1114 de 2006, establece la afiliación al FONDO NACIONAL DEL AHORRO S.A., a través, del Ahorro Voluntario Contractual (AVC), en virtud del cual las personas señaladas en la citada norma se comprometen a realizar depósitos de dinero, en las cuantías acordadas y a intervalos regulares, hasta cumplir la meta del ahorro en el plazo convenido, luego de lo cual pueden presentar solicitud de crédito de vivienda y/o educación.</w:t>
            </w:r>
          </w:p>
          <w:p w14:paraId="19F6EAED" w14:textId="77777777" w:rsidR="00145DAE" w:rsidRPr="00145DAE" w:rsidRDefault="00145DAE" w:rsidP="00524FF4">
            <w:pPr>
              <w:jc w:val="both"/>
              <w:rPr>
                <w:rFonts w:ascii="DIN 2014" w:hAnsi="DIN 2014"/>
                <w:szCs w:val="20"/>
              </w:rPr>
            </w:pPr>
          </w:p>
          <w:p w14:paraId="309F57FF" w14:textId="77777777" w:rsidR="00145DAE" w:rsidRPr="00145DAE" w:rsidRDefault="00145DAE" w:rsidP="00524FF4">
            <w:pPr>
              <w:jc w:val="both"/>
              <w:rPr>
                <w:rFonts w:ascii="DIN 2014" w:hAnsi="DIN 2014"/>
                <w:szCs w:val="20"/>
              </w:rPr>
            </w:pPr>
            <w:r w:rsidRPr="00145DAE">
              <w:rPr>
                <w:rFonts w:ascii="DIN 2014" w:hAnsi="DIN 2014"/>
                <w:szCs w:val="20"/>
              </w:rPr>
              <w:t xml:space="preserve">Que de conformidad con el artículo 26 de la Ley 1469 de 2011, “por la cual se adoptan medidas para promover la oferta de suelo urbanizable y se expiden otras disposiciones </w:t>
            </w:r>
            <w:r w:rsidRPr="00145DAE">
              <w:rPr>
                <w:rFonts w:ascii="DIN 2014" w:hAnsi="DIN 2014"/>
                <w:szCs w:val="20"/>
              </w:rPr>
              <w:lastRenderedPageBreak/>
              <w:t>para promover el acceso a la vivienda”, modificada por artículo 48 de la ley 2079 de 2021, se facultó al FONDO NACIONAL DEL AHORRO S.A., para realizar operaciones de leasing habitacional destinadas a la adquisición de vivienda y otorgar crédito constructor “Para el desarrollo de los Macroproyectos de Interés Social Nacional, de Proyectos Integrales de Desarrollo Urbano y de Proyectos de Vivienda, el Fondo Nacional de Ahorro podrá otorgar crédito constructor a los promotores de dichos proyectos”</w:t>
            </w:r>
          </w:p>
          <w:p w14:paraId="6BFF9991" w14:textId="77777777" w:rsidR="00145DAE" w:rsidRPr="00145DAE" w:rsidRDefault="00145DAE" w:rsidP="00524FF4">
            <w:pPr>
              <w:jc w:val="both"/>
              <w:rPr>
                <w:rFonts w:ascii="DIN 2014" w:hAnsi="DIN 2014"/>
                <w:szCs w:val="20"/>
              </w:rPr>
            </w:pPr>
          </w:p>
          <w:p w14:paraId="47B337E7" w14:textId="77777777" w:rsidR="00145DAE" w:rsidRPr="00145DAE" w:rsidRDefault="00145DAE" w:rsidP="00524FF4">
            <w:pPr>
              <w:jc w:val="both"/>
              <w:rPr>
                <w:rFonts w:ascii="DIN 2014" w:hAnsi="DIN 2014"/>
                <w:szCs w:val="20"/>
              </w:rPr>
            </w:pPr>
            <w:r w:rsidRPr="00145DAE">
              <w:rPr>
                <w:rFonts w:ascii="DIN 2014" w:hAnsi="DIN 2014"/>
                <w:szCs w:val="20"/>
              </w:rPr>
              <w:t>Que mediante Acuerdo 2566 de febrero de 2024 se adoptó la Versión 04 del Reglamento de Crédito y Leasing Habitacional II-ID-RP-CLH.</w:t>
            </w:r>
          </w:p>
          <w:p w14:paraId="417465DF" w14:textId="77777777" w:rsidR="00145DAE" w:rsidRPr="00145DAE" w:rsidRDefault="00145DAE" w:rsidP="00524FF4">
            <w:pPr>
              <w:jc w:val="both"/>
              <w:rPr>
                <w:rFonts w:ascii="DIN 2014" w:hAnsi="DIN 2014"/>
                <w:szCs w:val="20"/>
              </w:rPr>
            </w:pPr>
          </w:p>
          <w:p w14:paraId="2974E465" w14:textId="77777777" w:rsidR="00145DAE" w:rsidRPr="00145DAE" w:rsidRDefault="00145DAE" w:rsidP="00524FF4">
            <w:pPr>
              <w:autoSpaceDE w:val="0"/>
              <w:autoSpaceDN w:val="0"/>
              <w:adjustRightInd w:val="0"/>
              <w:jc w:val="both"/>
              <w:rPr>
                <w:rFonts w:ascii="DIN 2014" w:hAnsi="DIN 2014"/>
                <w:szCs w:val="20"/>
              </w:rPr>
            </w:pPr>
            <w:r w:rsidRPr="00145DAE">
              <w:rPr>
                <w:rFonts w:ascii="DIN 2014" w:hAnsi="DIN 2014"/>
                <w:szCs w:val="20"/>
              </w:rPr>
              <w:t>Que el Crédito Educativo está enfocado a financiar la educación superior de sus afiliados y sus familiares hasta tercer grado de Consanguinidad, primero en afinidad y único civil, en el territorio colombiano en la modalidad de pregrado y posgrado.</w:t>
            </w:r>
          </w:p>
          <w:p w14:paraId="046ABC01" w14:textId="47125140" w:rsidR="00145DAE" w:rsidRPr="00145DAE" w:rsidRDefault="00524FF4" w:rsidP="00524FF4">
            <w:pPr>
              <w:spacing w:before="100" w:beforeAutospacing="1" w:after="100" w:afterAutospacing="1"/>
              <w:ind w:left="26"/>
              <w:jc w:val="both"/>
              <w:rPr>
                <w:rFonts w:ascii="DIN 2014" w:hAnsi="DIN 2014"/>
                <w:szCs w:val="20"/>
              </w:rPr>
            </w:pPr>
            <w:r w:rsidRPr="00145DAE">
              <w:rPr>
                <w:rFonts w:ascii="DIN 2014" w:hAnsi="DIN 2014"/>
                <w:szCs w:val="20"/>
              </w:rPr>
              <w:t>Que,</w:t>
            </w:r>
            <w:r w:rsidR="00145DAE" w:rsidRPr="00145DAE">
              <w:rPr>
                <w:rFonts w:ascii="DIN 2014" w:hAnsi="DIN 2014"/>
                <w:szCs w:val="20"/>
              </w:rPr>
              <w:t xml:space="preserve"> con el fin de apoyar las políticas del Gobierno Nacional en materia de educación, se hace necesario reactivar el producto Crédito Educativo ajustando las políticas, normas y lineamientos que se encuentran contemplados en el capítulo 4 “Crédito Educativo AVC y Cesantías” del Reglamento de Crédito y Leasing Habitacional, </w:t>
            </w:r>
            <w:r w:rsidR="003A4B95" w:rsidRPr="00145DAE">
              <w:rPr>
                <w:rFonts w:ascii="DIN 2014" w:hAnsi="DIN 2014"/>
                <w:szCs w:val="20"/>
              </w:rPr>
              <w:t>de acuerdo con</w:t>
            </w:r>
            <w:r w:rsidR="00145DAE" w:rsidRPr="00145DAE">
              <w:rPr>
                <w:rFonts w:ascii="DIN 2014" w:hAnsi="DIN 2014"/>
                <w:szCs w:val="20"/>
              </w:rPr>
              <w:t xml:space="preserve"> los </w:t>
            </w:r>
            <w:r w:rsidRPr="00145DAE">
              <w:rPr>
                <w:rFonts w:ascii="DIN 2014" w:hAnsi="DIN 2014"/>
                <w:szCs w:val="20"/>
              </w:rPr>
              <w:t>nuevos lineamientos</w:t>
            </w:r>
            <w:r w:rsidR="00145DAE" w:rsidRPr="00145DAE">
              <w:rPr>
                <w:rFonts w:ascii="DIN 2014" w:hAnsi="DIN 2014"/>
                <w:szCs w:val="20"/>
              </w:rPr>
              <w:t xml:space="preserve"> del producto. Aplica para colombianos residentes en Colombia y beneficiarios de los </w:t>
            </w:r>
            <w:r w:rsidRPr="00145DAE">
              <w:rPr>
                <w:rFonts w:ascii="DIN 2014" w:hAnsi="DIN 2014"/>
                <w:szCs w:val="20"/>
              </w:rPr>
              <w:t>colombianos</w:t>
            </w:r>
            <w:r w:rsidR="00145DAE" w:rsidRPr="00145DAE">
              <w:rPr>
                <w:rFonts w:ascii="DIN 2014" w:hAnsi="DIN 2014"/>
                <w:szCs w:val="20"/>
              </w:rPr>
              <w:t xml:space="preserve"> residentes en el exterior cuyos estudios se adelanten en el territorio colombiano.</w:t>
            </w:r>
          </w:p>
          <w:p w14:paraId="0DBB2684" w14:textId="77777777" w:rsidR="00145DAE" w:rsidRPr="00145DAE" w:rsidRDefault="00145DAE" w:rsidP="00524FF4">
            <w:pPr>
              <w:jc w:val="both"/>
              <w:rPr>
                <w:rFonts w:ascii="DIN 2014" w:hAnsi="DIN 2014"/>
                <w:szCs w:val="20"/>
              </w:rPr>
            </w:pPr>
            <w:r w:rsidRPr="00145DAE">
              <w:rPr>
                <w:rFonts w:ascii="DIN 2014" w:hAnsi="DIN 2014"/>
                <w:szCs w:val="20"/>
              </w:rPr>
              <w:t>Que las demás disposiciones de la Versión 4 del Reglamento de Crédito y Leasing Habitacional adoptada mediante Acuerdo 2566 de 2024 se recogen en los mismos términos.</w:t>
            </w:r>
          </w:p>
          <w:p w14:paraId="5FC1599D" w14:textId="77777777" w:rsidR="00145DAE" w:rsidRPr="00145DAE" w:rsidRDefault="00145DAE" w:rsidP="00524FF4">
            <w:pPr>
              <w:ind w:left="313"/>
              <w:jc w:val="both"/>
              <w:rPr>
                <w:rFonts w:ascii="DIN 2014" w:hAnsi="DIN 2014"/>
                <w:szCs w:val="20"/>
              </w:rPr>
            </w:pPr>
          </w:p>
          <w:p w14:paraId="1797B6B4" w14:textId="77777777" w:rsidR="00145DAE" w:rsidRPr="00145DAE" w:rsidRDefault="00145DAE" w:rsidP="00524FF4">
            <w:pPr>
              <w:jc w:val="both"/>
              <w:rPr>
                <w:rFonts w:ascii="DIN 2014" w:hAnsi="DIN 2014"/>
                <w:szCs w:val="20"/>
              </w:rPr>
            </w:pPr>
            <w:r w:rsidRPr="00145DAE">
              <w:rPr>
                <w:rFonts w:ascii="DIN 2014" w:hAnsi="DIN 2014"/>
                <w:szCs w:val="20"/>
              </w:rPr>
              <w:t>Que el Comité de Riesgos en Sesión Ordinaria 231 del 10 de diciembre de 2024 recomendó presentar ante la Junta Directiva del FONDO NACIONAL DEL AHORRO S.A., las modificaciones propuestas.</w:t>
            </w:r>
          </w:p>
          <w:p w14:paraId="3248C2A0" w14:textId="77777777" w:rsidR="00145DAE" w:rsidRPr="00145DAE" w:rsidRDefault="00145DAE" w:rsidP="00524FF4">
            <w:pPr>
              <w:pStyle w:val="NormalWeb"/>
              <w:spacing w:before="0" w:beforeAutospacing="0" w:after="0" w:afterAutospacing="0"/>
              <w:jc w:val="both"/>
              <w:rPr>
                <w:rFonts w:ascii="DIN 2014" w:hAnsi="DIN 2014"/>
                <w:szCs w:val="20"/>
                <w:lang w:val="es-ES" w:eastAsia="es-ES"/>
              </w:rPr>
            </w:pPr>
          </w:p>
          <w:p w14:paraId="2C5F468C" w14:textId="77777777" w:rsidR="00145DAE" w:rsidRPr="00145DAE" w:rsidRDefault="00145DAE" w:rsidP="00524FF4">
            <w:pPr>
              <w:autoSpaceDE w:val="0"/>
              <w:autoSpaceDN w:val="0"/>
              <w:adjustRightInd w:val="0"/>
              <w:jc w:val="both"/>
              <w:rPr>
                <w:rFonts w:ascii="DIN 2014" w:hAnsi="DIN 2014"/>
                <w:szCs w:val="20"/>
              </w:rPr>
            </w:pPr>
            <w:r w:rsidRPr="00145DAE">
              <w:rPr>
                <w:rFonts w:ascii="DIN 2014" w:hAnsi="DIN 2014"/>
                <w:szCs w:val="20"/>
              </w:rPr>
              <w:t>Que la Junta Directiva en Sesión Ordinaria Número 1007 del 18 de diciembre de 2024, aprobó el presente Acuerdo.</w:t>
            </w:r>
          </w:p>
        </w:tc>
      </w:tr>
      <w:tr w:rsidR="00145DAE" w:rsidRPr="00145DAE" w14:paraId="3904B55A" w14:textId="77777777" w:rsidTr="00364263">
        <w:trPr>
          <w:trHeight w:val="265"/>
        </w:trPr>
        <w:tc>
          <w:tcPr>
            <w:tcW w:w="8850" w:type="dxa"/>
            <w:tcBorders>
              <w:top w:val="nil"/>
              <w:left w:val="nil"/>
              <w:bottom w:val="nil"/>
              <w:right w:val="nil"/>
            </w:tcBorders>
          </w:tcPr>
          <w:p w14:paraId="62462BA1" w14:textId="77777777" w:rsidR="00145DAE" w:rsidRPr="00145DAE" w:rsidRDefault="00145DAE" w:rsidP="00524FF4">
            <w:pPr>
              <w:jc w:val="both"/>
              <w:rPr>
                <w:rFonts w:ascii="DIN 2014" w:hAnsi="DIN 2014"/>
                <w:szCs w:val="20"/>
              </w:rPr>
            </w:pPr>
          </w:p>
        </w:tc>
      </w:tr>
      <w:tr w:rsidR="00145DAE" w:rsidRPr="00145DAE" w14:paraId="242EA6F0" w14:textId="77777777" w:rsidTr="00364263">
        <w:trPr>
          <w:trHeight w:val="70"/>
        </w:trPr>
        <w:tc>
          <w:tcPr>
            <w:tcW w:w="8850" w:type="dxa"/>
            <w:tcBorders>
              <w:top w:val="nil"/>
              <w:left w:val="nil"/>
              <w:bottom w:val="nil"/>
              <w:right w:val="nil"/>
            </w:tcBorders>
          </w:tcPr>
          <w:p w14:paraId="04AE0CD3" w14:textId="77777777" w:rsidR="00145DAE" w:rsidRPr="00145DAE" w:rsidRDefault="00145DAE" w:rsidP="00524FF4">
            <w:pPr>
              <w:jc w:val="center"/>
              <w:rPr>
                <w:rFonts w:ascii="DIN 2014" w:hAnsi="DIN 2014"/>
                <w:szCs w:val="20"/>
              </w:rPr>
            </w:pPr>
          </w:p>
        </w:tc>
      </w:tr>
    </w:tbl>
    <w:p w14:paraId="2CC70614" w14:textId="77777777" w:rsidR="00145DAE" w:rsidRPr="00145DAE" w:rsidRDefault="00145DAE" w:rsidP="00524FF4">
      <w:pPr>
        <w:jc w:val="center"/>
        <w:rPr>
          <w:rFonts w:ascii="DIN 2014" w:hAnsi="DIN 2014"/>
          <w:szCs w:val="20"/>
        </w:rPr>
      </w:pPr>
      <w:r w:rsidRPr="00145DAE">
        <w:rPr>
          <w:rFonts w:ascii="DIN 2014" w:hAnsi="DIN 2014"/>
          <w:szCs w:val="20"/>
        </w:rPr>
        <w:t>En virtud de lo expuesto,</w:t>
      </w:r>
    </w:p>
    <w:p w14:paraId="6A40EC47" w14:textId="77777777" w:rsidR="00145DAE" w:rsidRPr="00145DAE" w:rsidRDefault="00145DAE" w:rsidP="00524FF4">
      <w:pPr>
        <w:jc w:val="center"/>
        <w:rPr>
          <w:rFonts w:ascii="DIN 2014" w:hAnsi="DIN 2014"/>
          <w:szCs w:val="20"/>
        </w:rPr>
      </w:pPr>
    </w:p>
    <w:p w14:paraId="57B556C7" w14:textId="77777777" w:rsidR="00145DAE" w:rsidRPr="00145DAE" w:rsidRDefault="00145DAE" w:rsidP="00524FF4">
      <w:pPr>
        <w:keepNext/>
        <w:jc w:val="center"/>
        <w:outlineLvl w:val="0"/>
        <w:rPr>
          <w:rFonts w:ascii="DIN 2014" w:hAnsi="DIN 2014"/>
          <w:szCs w:val="20"/>
        </w:rPr>
      </w:pPr>
      <w:r w:rsidRPr="00145DAE">
        <w:rPr>
          <w:rFonts w:ascii="DIN 2014" w:hAnsi="DIN 2014"/>
          <w:szCs w:val="20"/>
        </w:rPr>
        <w:t>ACUERDA: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145DAE" w:rsidRPr="00145DAE" w14:paraId="23E7DD53" w14:textId="77777777" w:rsidTr="00364263">
        <w:trPr>
          <w:trHeight w:val="1610"/>
        </w:trPr>
        <w:tc>
          <w:tcPr>
            <w:tcW w:w="8838" w:type="dxa"/>
            <w:tcBorders>
              <w:top w:val="nil"/>
              <w:left w:val="nil"/>
              <w:bottom w:val="nil"/>
              <w:right w:val="nil"/>
            </w:tcBorders>
          </w:tcPr>
          <w:p w14:paraId="62CEFB37" w14:textId="77777777" w:rsidR="00145DAE" w:rsidRPr="00145DAE" w:rsidRDefault="00145DAE" w:rsidP="00524FF4">
            <w:pPr>
              <w:tabs>
                <w:tab w:val="left" w:pos="284"/>
                <w:tab w:val="left" w:pos="8931"/>
              </w:tabs>
              <w:ind w:right="44"/>
              <w:jc w:val="both"/>
              <w:rPr>
                <w:rFonts w:ascii="DIN 2014" w:hAnsi="DIN 2014"/>
                <w:szCs w:val="20"/>
              </w:rPr>
            </w:pPr>
          </w:p>
          <w:p w14:paraId="39884E8A" w14:textId="77777777" w:rsidR="00145DAE" w:rsidRPr="00145DAE" w:rsidRDefault="00145DAE" w:rsidP="00524FF4">
            <w:pPr>
              <w:tabs>
                <w:tab w:val="left" w:pos="284"/>
                <w:tab w:val="left" w:pos="8931"/>
              </w:tabs>
              <w:ind w:right="44"/>
              <w:jc w:val="both"/>
              <w:rPr>
                <w:rFonts w:ascii="DIN 2014" w:hAnsi="DIN 2014"/>
                <w:szCs w:val="20"/>
              </w:rPr>
            </w:pPr>
            <w:r w:rsidRPr="00145DAE">
              <w:rPr>
                <w:rFonts w:ascii="DIN 2014" w:hAnsi="DIN 2014"/>
                <w:szCs w:val="20"/>
              </w:rPr>
              <w:t>ARTÍCULO PRIMERO: OBJETO: Adoptar una nueva versión del Reglamento de Crédito y Leasing Habitacional en el Fondo Nacional del Ahorro S.A., Código II-ID-RP-CLH, Versión 5.</w:t>
            </w:r>
          </w:p>
          <w:p w14:paraId="3D39CAA4" w14:textId="77777777" w:rsidR="00145DAE" w:rsidRPr="00145DAE" w:rsidRDefault="00145DAE" w:rsidP="00524FF4">
            <w:pPr>
              <w:tabs>
                <w:tab w:val="left" w:pos="284"/>
                <w:tab w:val="left" w:pos="8931"/>
              </w:tabs>
              <w:ind w:right="44"/>
              <w:jc w:val="both"/>
              <w:rPr>
                <w:rFonts w:ascii="DIN 2014" w:hAnsi="DIN 2014"/>
                <w:szCs w:val="20"/>
              </w:rPr>
            </w:pPr>
          </w:p>
          <w:p w14:paraId="6D1FCC7E" w14:textId="77777777" w:rsidR="00145DAE" w:rsidRPr="00145DAE" w:rsidRDefault="00145DAE" w:rsidP="00524FF4">
            <w:pPr>
              <w:jc w:val="both"/>
              <w:rPr>
                <w:rFonts w:ascii="DIN 2014" w:hAnsi="DIN 2014"/>
                <w:szCs w:val="20"/>
              </w:rPr>
            </w:pPr>
            <w:r w:rsidRPr="00145DAE">
              <w:rPr>
                <w:rFonts w:ascii="DIN 2014" w:hAnsi="DIN 2014"/>
                <w:szCs w:val="20"/>
              </w:rPr>
              <w:t>ARTÍCULO SEGUNDO: POLÍTICAS: Establecer las siguientes políticas para las operaciones de crédito y leasing habitacional en el Fondo Nacional del Ahorro S.A.:</w:t>
            </w:r>
          </w:p>
          <w:p w14:paraId="77F4F295" w14:textId="77777777" w:rsidR="00145DAE" w:rsidRPr="00145DAE" w:rsidRDefault="00145DAE" w:rsidP="00524FF4">
            <w:pPr>
              <w:jc w:val="both"/>
              <w:rPr>
                <w:rFonts w:ascii="DIN 2014" w:hAnsi="DIN 2014"/>
                <w:szCs w:val="20"/>
              </w:rPr>
            </w:pPr>
          </w:p>
          <w:p w14:paraId="0B0B453A"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lastRenderedPageBreak/>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tblGrid>
            <w:tr w:rsidR="00145DAE" w:rsidRPr="00145DAE" w14:paraId="64F1A78B" w14:textId="77777777" w:rsidTr="00364263">
              <w:trPr>
                <w:trHeight w:val="3038"/>
              </w:trPr>
              <w:tc>
                <w:tcPr>
                  <w:tcW w:w="8622" w:type="dxa"/>
                  <w:tcBorders>
                    <w:top w:val="nil"/>
                    <w:left w:val="nil"/>
                    <w:bottom w:val="nil"/>
                    <w:right w:val="nil"/>
                  </w:tcBorders>
                </w:tcPr>
                <w:p w14:paraId="4A6B88BA" w14:textId="77777777" w:rsidR="00145DAE" w:rsidRPr="00145DAE" w:rsidRDefault="00145DAE" w:rsidP="00524FF4">
                  <w:pPr>
                    <w:spacing w:before="240" w:after="200"/>
                    <w:ind w:left="720"/>
                    <w:contextualSpacing/>
                    <w:jc w:val="both"/>
                    <w:rPr>
                      <w:rFonts w:ascii="DIN 2014" w:hAnsi="DIN 2014"/>
                      <w:szCs w:val="20"/>
                    </w:rPr>
                  </w:pPr>
                </w:p>
                <w:p w14:paraId="1A692C6D" w14:textId="77777777" w:rsidR="00145DAE" w:rsidRPr="00145DAE" w:rsidRDefault="00145DAE" w:rsidP="00524FF4">
                  <w:pPr>
                    <w:numPr>
                      <w:ilvl w:val="0"/>
                      <w:numId w:val="2"/>
                    </w:numPr>
                    <w:spacing w:after="200"/>
                    <w:contextualSpacing/>
                    <w:jc w:val="both"/>
                    <w:rPr>
                      <w:rFonts w:ascii="DIN 2014" w:hAnsi="DIN 2014"/>
                      <w:szCs w:val="20"/>
                    </w:rPr>
                  </w:pPr>
                  <w:r w:rsidRPr="00145DAE">
                    <w:rPr>
                      <w:rFonts w:ascii="DIN 2014" w:hAnsi="DIN 2014"/>
                      <w:szCs w:val="20"/>
                    </w:rPr>
                    <w:t>Para cumplir los postulados sociales de su creación el FONDO NACIONAL DEL AHORRO S.A., en el proceso de estudio de crédito individual y operaciones de Leasing Habitacional, podrá tener en cuenta para efectos de dicho otorgamiento, otros ingresos del solicitante, y los provenientes de terceros que adquirirán la calidad de deudor solidario.</w:t>
                  </w:r>
                </w:p>
                <w:p w14:paraId="4FDA17CE" w14:textId="77777777" w:rsidR="00145DAE" w:rsidRPr="00145DAE" w:rsidRDefault="00145DAE" w:rsidP="00524FF4">
                  <w:pPr>
                    <w:spacing w:after="200"/>
                    <w:contextualSpacing/>
                    <w:jc w:val="both"/>
                    <w:rPr>
                      <w:rFonts w:ascii="DIN 2014" w:hAnsi="DIN 2014"/>
                      <w:szCs w:val="20"/>
                    </w:rPr>
                  </w:pPr>
                </w:p>
                <w:p w14:paraId="7CD01B3D"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Los Créditos y operaciones de Leasing Habitacional que se adjudiquen contribuirán al desarrollo económico y social del país de acuerdo con las políticas del Gobierno Nacional en materia de vivienda.</w:t>
                  </w:r>
                </w:p>
                <w:p w14:paraId="56B1F875" w14:textId="77777777" w:rsidR="00145DAE" w:rsidRPr="00145DAE" w:rsidRDefault="00145DAE" w:rsidP="00524FF4">
                  <w:pPr>
                    <w:spacing w:before="240" w:after="200"/>
                    <w:ind w:left="720"/>
                    <w:contextualSpacing/>
                    <w:jc w:val="both"/>
                    <w:rPr>
                      <w:rFonts w:ascii="DIN 2014" w:hAnsi="DIN 2014"/>
                      <w:szCs w:val="20"/>
                    </w:rPr>
                  </w:pPr>
                </w:p>
                <w:p w14:paraId="04957FBE"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76524A53" w14:textId="77777777" w:rsidR="00145DAE" w:rsidRPr="00145DAE" w:rsidRDefault="00145DAE" w:rsidP="00524FF4">
                  <w:pPr>
                    <w:pStyle w:val="Prrafodelista"/>
                    <w:jc w:val="both"/>
                    <w:rPr>
                      <w:rFonts w:ascii="DIN 2014" w:hAnsi="DIN 2014"/>
                      <w:szCs w:val="20"/>
                    </w:rPr>
                  </w:pPr>
                </w:p>
                <w:p w14:paraId="4DFA5C18" w14:textId="2969EDBA"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Para garantizar la adecuada colocación de los créditos y operaciones de Leasing Habitacional, el FONDO NACIONAL DEL AHORRO S.A., deberá tener en cuenta los ingresos del (los) solicitante(s) debidamente soportados.</w:t>
                  </w:r>
                </w:p>
                <w:p w14:paraId="18ABEDFF" w14:textId="77777777" w:rsidR="00145DAE" w:rsidRPr="00145DAE" w:rsidRDefault="00145DAE" w:rsidP="00524FF4">
                  <w:pPr>
                    <w:spacing w:before="240" w:after="200"/>
                    <w:ind w:left="720"/>
                    <w:contextualSpacing/>
                    <w:jc w:val="both"/>
                    <w:rPr>
                      <w:rFonts w:ascii="DIN 2014" w:hAnsi="DIN 2014"/>
                      <w:szCs w:val="20"/>
                    </w:rPr>
                  </w:pPr>
                </w:p>
                <w:p w14:paraId="16D60AFC" w14:textId="77777777" w:rsidR="00145DAE" w:rsidRPr="00145DAE" w:rsidRDefault="00145DAE" w:rsidP="00524FF4">
                  <w:pPr>
                    <w:numPr>
                      <w:ilvl w:val="0"/>
                      <w:numId w:val="2"/>
                    </w:numPr>
                    <w:spacing w:after="200"/>
                    <w:contextualSpacing/>
                    <w:jc w:val="both"/>
                    <w:rPr>
                      <w:rFonts w:ascii="DIN 2014" w:hAnsi="DIN 2014"/>
                      <w:szCs w:val="20"/>
                    </w:rPr>
                  </w:pPr>
                  <w:r w:rsidRPr="00145DAE">
                    <w:rPr>
                      <w:rFonts w:ascii="DIN 2014" w:hAnsi="DIN 2014"/>
                      <w:szCs w:val="20"/>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C7013A1" w14:textId="77777777" w:rsidR="00145DAE" w:rsidRPr="00145DAE" w:rsidRDefault="00145DAE" w:rsidP="00524FF4">
                  <w:pPr>
                    <w:spacing w:before="240" w:after="200"/>
                    <w:ind w:left="720"/>
                    <w:contextualSpacing/>
                    <w:jc w:val="both"/>
                    <w:rPr>
                      <w:rFonts w:ascii="DIN 2014" w:hAnsi="DIN 2014"/>
                      <w:szCs w:val="20"/>
                    </w:rPr>
                  </w:pPr>
                </w:p>
                <w:p w14:paraId="62ADD629" w14:textId="64CD85C5"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En el proceso de Crédito y operaciones de Leasing Habitacional, el FONDO NACIONAL DEL AHORRO S.A., realizará la evaluación del riesgo crediticio de conformidad con lo establecido en el Manual del Sistema Integral de Administración de Riesgos — SIAR</w:t>
                  </w:r>
                  <w:r w:rsidR="006E1753" w:rsidRPr="00145DAE">
                    <w:rPr>
                      <w:rFonts w:ascii="DIN 2014" w:hAnsi="DIN 2014"/>
                      <w:szCs w:val="20"/>
                    </w:rPr>
                    <w:t>- GR</w:t>
                  </w:r>
                  <w:r w:rsidRPr="00145DAE">
                    <w:rPr>
                      <w:rFonts w:ascii="DIN 2014" w:hAnsi="DIN 2014"/>
                      <w:szCs w:val="20"/>
                    </w:rPr>
                    <w:t>-RC-MN-SIAR y el Manual de Gestión de Riesgo de Crédito – SARC y las disposiciones aplicables que sobre el particular establezca la Superintendencia Financiera de Colombia.</w:t>
                  </w:r>
                </w:p>
                <w:p w14:paraId="41FDD875" w14:textId="77777777" w:rsidR="00145DAE" w:rsidRPr="00145DAE" w:rsidRDefault="00145DAE" w:rsidP="00524FF4">
                  <w:pPr>
                    <w:spacing w:before="240" w:after="200"/>
                    <w:ind w:left="720"/>
                    <w:contextualSpacing/>
                    <w:jc w:val="both"/>
                    <w:rPr>
                      <w:rFonts w:ascii="DIN 2014" w:hAnsi="DIN 2014"/>
                      <w:szCs w:val="20"/>
                    </w:rPr>
                  </w:pPr>
                </w:p>
                <w:p w14:paraId="4265DA1E"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586D9407" w14:textId="77777777" w:rsidR="00145DAE" w:rsidRPr="00145DAE" w:rsidRDefault="00145DAE" w:rsidP="00524FF4">
                  <w:pPr>
                    <w:spacing w:before="240" w:after="200"/>
                    <w:ind w:left="720"/>
                    <w:contextualSpacing/>
                    <w:jc w:val="both"/>
                    <w:rPr>
                      <w:rFonts w:ascii="DIN 2014" w:hAnsi="DIN 2014"/>
                      <w:szCs w:val="20"/>
                    </w:rPr>
                  </w:pPr>
                </w:p>
                <w:p w14:paraId="7ED4B64B"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 xml:space="preserve">El FONDO NACIONAL DEL AHORRO S.A., se reserva el derecho de abstenerse de otorgar contratos de Leasing Habitacional o desembolsar créditos cuando ello </w:t>
                  </w:r>
                  <w:r w:rsidRPr="00145DAE">
                    <w:rPr>
                      <w:rFonts w:ascii="DIN 2014" w:hAnsi="DIN 2014"/>
                      <w:szCs w:val="20"/>
                    </w:rPr>
                    <w:lastRenderedPageBreak/>
                    <w:t>implique exponer a la Entidad a los riesgos asociados con el lavado de activos y la financiación del terrorismo (SARLAFT).</w:t>
                  </w:r>
                </w:p>
                <w:p w14:paraId="41624EB6" w14:textId="77777777" w:rsidR="00145DAE" w:rsidRPr="00145DAE" w:rsidRDefault="00145DAE" w:rsidP="00524FF4">
                  <w:pPr>
                    <w:spacing w:before="240" w:after="200"/>
                    <w:ind w:left="720"/>
                    <w:contextualSpacing/>
                    <w:jc w:val="both"/>
                    <w:rPr>
                      <w:rFonts w:ascii="DIN 2014" w:hAnsi="DIN 2014"/>
                      <w:szCs w:val="20"/>
                    </w:rPr>
                  </w:pPr>
                </w:p>
                <w:p w14:paraId="73727282"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089FCFA1" w14:textId="77777777" w:rsidR="00145DAE" w:rsidRPr="00145DAE" w:rsidRDefault="00145DAE" w:rsidP="00524FF4">
                  <w:pPr>
                    <w:spacing w:before="240" w:after="200"/>
                    <w:ind w:left="720"/>
                    <w:contextualSpacing/>
                    <w:jc w:val="both"/>
                    <w:rPr>
                      <w:rFonts w:ascii="DIN 2014" w:hAnsi="DIN 2014"/>
                      <w:szCs w:val="20"/>
                    </w:rPr>
                  </w:pPr>
                </w:p>
                <w:p w14:paraId="75ED0443"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El riesgo de crédito debe estar diversificado en términos geográficos y de producto inmobiliario.</w:t>
                  </w:r>
                </w:p>
                <w:p w14:paraId="20C9880F" w14:textId="77777777" w:rsidR="00145DAE" w:rsidRPr="00145DAE" w:rsidRDefault="00145DAE" w:rsidP="00524FF4">
                  <w:pPr>
                    <w:spacing w:before="240" w:after="200"/>
                    <w:ind w:left="720"/>
                    <w:contextualSpacing/>
                    <w:jc w:val="both"/>
                    <w:rPr>
                      <w:rFonts w:ascii="DIN 2014" w:hAnsi="DIN 2014"/>
                      <w:szCs w:val="20"/>
                    </w:rPr>
                  </w:pPr>
                </w:p>
                <w:p w14:paraId="6E757BE4" w14:textId="77777777" w:rsidR="00145DAE" w:rsidRPr="00145DAE" w:rsidRDefault="00145DAE" w:rsidP="00524FF4">
                  <w:pPr>
                    <w:numPr>
                      <w:ilvl w:val="0"/>
                      <w:numId w:val="2"/>
                    </w:numPr>
                    <w:spacing w:before="240" w:after="200"/>
                    <w:contextualSpacing/>
                    <w:jc w:val="both"/>
                    <w:rPr>
                      <w:rFonts w:ascii="DIN 2014" w:hAnsi="DIN 2014"/>
                      <w:szCs w:val="20"/>
                    </w:rPr>
                  </w:pPr>
                  <w:r w:rsidRPr="00145DAE">
                    <w:rPr>
                      <w:rFonts w:ascii="DIN 2014" w:hAnsi="DIN 2014"/>
                      <w:szCs w:val="20"/>
                    </w:rPr>
                    <w:t>Los créditos para vivienda estarán respaldados por garantía hipotecaria de primer grado, sobre el inmueble objeto de financiación, el cual deberá estar ubicado en territorio colombiano.</w:t>
                  </w:r>
                </w:p>
                <w:p w14:paraId="2C1ECEDE" w14:textId="77777777" w:rsidR="00145DAE" w:rsidRPr="00145DAE" w:rsidRDefault="00145DAE" w:rsidP="00524FF4">
                  <w:pPr>
                    <w:spacing w:before="240" w:after="200"/>
                    <w:ind w:left="720"/>
                    <w:contextualSpacing/>
                    <w:jc w:val="both"/>
                    <w:rPr>
                      <w:rFonts w:ascii="DIN 2014" w:hAnsi="DIN 2014"/>
                      <w:szCs w:val="20"/>
                    </w:rPr>
                  </w:pPr>
                </w:p>
                <w:p w14:paraId="34F2EA00" w14:textId="77777777" w:rsidR="00145DAE" w:rsidRPr="00145DAE" w:rsidRDefault="00145DAE" w:rsidP="00524FF4">
                  <w:pPr>
                    <w:numPr>
                      <w:ilvl w:val="0"/>
                      <w:numId w:val="2"/>
                    </w:numPr>
                    <w:jc w:val="both"/>
                    <w:rPr>
                      <w:rFonts w:ascii="DIN 2014" w:hAnsi="DIN 2014"/>
                      <w:szCs w:val="20"/>
                    </w:rPr>
                  </w:pPr>
                  <w:r w:rsidRPr="00145DAE">
                    <w:rPr>
                      <w:rFonts w:ascii="DIN 2014" w:hAnsi="DIN 2014"/>
                      <w:szCs w:val="20"/>
                    </w:rPr>
                    <w:t>Los créditos para vivienda u operaciones de Leasing Habitacional que se otorguen por la línea de Colombianos Residentes en el Exterior y que residan en alguno de los países contenidos en el listado aprobado por la Junta Directiva del Fondo Nacional del Ahorro; para estos, es obligante contar con el Número Identificación Tributaria o su equivalente, este documento debe estar vigente y otorgado por el país donde residen.</w:t>
                  </w:r>
                </w:p>
                <w:p w14:paraId="6607C330" w14:textId="77777777" w:rsidR="00145DAE" w:rsidRPr="00145DAE" w:rsidRDefault="00145DAE" w:rsidP="00524FF4">
                  <w:pPr>
                    <w:pStyle w:val="Prrafodelista"/>
                    <w:jc w:val="both"/>
                    <w:rPr>
                      <w:rFonts w:ascii="DIN 2014" w:hAnsi="DIN 2014"/>
                      <w:szCs w:val="20"/>
                    </w:rPr>
                  </w:pPr>
                </w:p>
                <w:p w14:paraId="52D7E353" w14:textId="5FD1BD47" w:rsidR="00145DAE" w:rsidRPr="00145DAE" w:rsidRDefault="00145DAE" w:rsidP="00524FF4">
                  <w:pPr>
                    <w:pStyle w:val="Sangra3det"/>
                    <w:widowControl w:val="0"/>
                    <w:numPr>
                      <w:ilvl w:val="0"/>
                      <w:numId w:val="2"/>
                    </w:numPr>
                    <w:spacing w:after="0"/>
                    <w:jc w:val="both"/>
                    <w:rPr>
                      <w:rFonts w:ascii="DIN 2014" w:hAnsi="DIN 2014"/>
                      <w:sz w:val="24"/>
                      <w:szCs w:val="20"/>
                    </w:rPr>
                  </w:pPr>
                  <w:r w:rsidRPr="00145DAE">
                    <w:rPr>
                      <w:rFonts w:ascii="DIN 2014" w:hAnsi="DIN 2014"/>
                      <w:sz w:val="24"/>
                      <w:szCs w:val="20"/>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3F38CDA8" w14:textId="77777777" w:rsidR="00145DAE" w:rsidRPr="00145DAE" w:rsidRDefault="00145DAE" w:rsidP="00524FF4">
                  <w:pPr>
                    <w:pStyle w:val="Prrafodelista"/>
                    <w:jc w:val="both"/>
                    <w:rPr>
                      <w:rFonts w:ascii="DIN 2014" w:hAnsi="DIN 2014"/>
                      <w:szCs w:val="20"/>
                    </w:rPr>
                  </w:pPr>
                </w:p>
                <w:p w14:paraId="01366C18" w14:textId="77777777" w:rsidR="00145DAE" w:rsidRPr="00145DAE" w:rsidRDefault="00145DAE" w:rsidP="00524FF4">
                  <w:pPr>
                    <w:pStyle w:val="Prrafodelista"/>
                    <w:numPr>
                      <w:ilvl w:val="0"/>
                      <w:numId w:val="2"/>
                    </w:numPr>
                    <w:contextualSpacing/>
                    <w:jc w:val="both"/>
                    <w:rPr>
                      <w:rFonts w:ascii="DIN 2014" w:hAnsi="DIN 2014"/>
                      <w:szCs w:val="20"/>
                    </w:rPr>
                  </w:pPr>
                  <w:r w:rsidRPr="00145DAE">
                    <w:rPr>
                      <w:rFonts w:ascii="DIN 2014" w:hAnsi="DIN 2014"/>
                      <w:szCs w:val="20"/>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1FDD81D4" w14:textId="77777777" w:rsidR="00145DAE" w:rsidRPr="00145DAE" w:rsidRDefault="00145DAE" w:rsidP="00524FF4">
                  <w:pPr>
                    <w:numPr>
                      <w:ilvl w:val="0"/>
                      <w:numId w:val="2"/>
                    </w:numPr>
                    <w:spacing w:before="240"/>
                    <w:contextualSpacing/>
                    <w:jc w:val="both"/>
                    <w:rPr>
                      <w:rFonts w:ascii="DIN 2014" w:hAnsi="DIN 2014"/>
                      <w:szCs w:val="20"/>
                    </w:rPr>
                  </w:pPr>
                  <w:r w:rsidRPr="00145DAE">
                    <w:rPr>
                      <w:rFonts w:ascii="DIN 2014" w:hAnsi="DIN 2014"/>
                      <w:szCs w:val="20"/>
                    </w:rPr>
                    <w:t>A través del Leasing Habitacional se financiará la adquisición de vivienda demandada por los afiliados del FONDO NACIONAL DEL AHORRO S.A., dentro del territorio nacional en el rango diferente a la vivienda de interés social (VIS).</w:t>
                  </w:r>
                </w:p>
                <w:p w14:paraId="0FCA62D5" w14:textId="77777777" w:rsidR="00145DAE" w:rsidRPr="00145DAE" w:rsidRDefault="00145DAE" w:rsidP="00524FF4">
                  <w:pPr>
                    <w:pStyle w:val="Prrafodelista"/>
                    <w:jc w:val="both"/>
                    <w:rPr>
                      <w:rFonts w:ascii="DIN 2014" w:hAnsi="DIN 2014"/>
                      <w:szCs w:val="20"/>
                    </w:rPr>
                  </w:pPr>
                </w:p>
                <w:p w14:paraId="623E48ED"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Se otorgarán contratos de Leasing Habitacional y créditos hipotecarios a los afiliados al Fondo Nacional del Ahorro que cumplan las condiciones y requisitos establecidos por el FONDO NACIONAL DEL AHORRO S.A.,</w:t>
                  </w:r>
                </w:p>
                <w:p w14:paraId="0A808F7E" w14:textId="77777777" w:rsidR="00145DAE" w:rsidRPr="00145DAE" w:rsidRDefault="00145DAE" w:rsidP="00524FF4">
                  <w:pPr>
                    <w:pStyle w:val="Prrafodelista"/>
                    <w:jc w:val="both"/>
                    <w:rPr>
                      <w:rFonts w:ascii="DIN 2014" w:hAnsi="DIN 2014"/>
                      <w:szCs w:val="20"/>
                    </w:rPr>
                  </w:pPr>
                </w:p>
                <w:p w14:paraId="010D9969"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lastRenderedPageBreak/>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01C3134F" w14:textId="77777777" w:rsidR="00145DAE" w:rsidRPr="00145DAE" w:rsidRDefault="00145DAE" w:rsidP="00524FF4">
                  <w:pPr>
                    <w:pStyle w:val="Prrafodelista"/>
                    <w:jc w:val="both"/>
                    <w:rPr>
                      <w:rFonts w:ascii="DIN 2014" w:hAnsi="DIN 2014"/>
                      <w:szCs w:val="20"/>
                    </w:rPr>
                  </w:pPr>
                </w:p>
                <w:p w14:paraId="33C88017"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implementará mecanismos idóneos para la recuperación y/o restitución de los recursos comprometidos en la operación de Leasing Habitacional de acuerdo, con las mejores prácticas del mercado.</w:t>
                  </w:r>
                </w:p>
                <w:p w14:paraId="2DE6AEC9" w14:textId="77777777" w:rsidR="00145DAE" w:rsidRPr="00145DAE" w:rsidRDefault="00145DAE" w:rsidP="00524FF4">
                  <w:pPr>
                    <w:pStyle w:val="Prrafodelista"/>
                    <w:jc w:val="both"/>
                    <w:rPr>
                      <w:rFonts w:ascii="DIN 2014" w:hAnsi="DIN 2014"/>
                      <w:szCs w:val="20"/>
                    </w:rPr>
                  </w:pPr>
                </w:p>
                <w:p w14:paraId="05CC1799"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01B1F7C1" w14:textId="77777777" w:rsidR="00145DAE" w:rsidRPr="00145DAE" w:rsidRDefault="00145DAE" w:rsidP="00524FF4">
                  <w:pPr>
                    <w:ind w:left="720"/>
                    <w:contextualSpacing/>
                    <w:jc w:val="both"/>
                    <w:rPr>
                      <w:rFonts w:ascii="DIN 2014" w:hAnsi="DIN 2014"/>
                      <w:szCs w:val="20"/>
                    </w:rPr>
                  </w:pPr>
                </w:p>
                <w:p w14:paraId="237A548F" w14:textId="0C573C4A"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Los Créditos para educación que otorgue el Fondo Nacional del Ahorro S.A. estarán dirigidos al fomento de la educación superior en modalidad de pregrado y posgrado en el territorio colombiano, con el fin de contribuir a la formación académica o profesional de los afiliados del Fondo Nacional de Ahorro afiliados y sus familiares hasta tercer grado de Consanguinidad, primero en afinidad y único civil.</w:t>
                  </w:r>
                </w:p>
                <w:p w14:paraId="270ABEF1" w14:textId="77777777" w:rsidR="00145DAE" w:rsidRPr="00145DAE" w:rsidRDefault="00145DAE" w:rsidP="00524FF4">
                  <w:pPr>
                    <w:ind w:left="720"/>
                    <w:contextualSpacing/>
                    <w:jc w:val="both"/>
                    <w:rPr>
                      <w:rFonts w:ascii="DIN 2014" w:hAnsi="DIN 2014"/>
                      <w:szCs w:val="20"/>
                    </w:rPr>
                  </w:pPr>
                </w:p>
                <w:p w14:paraId="624BF33C" w14:textId="09B0A12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financiará hasta el 100% del costo del Programa de Educación Superior, de acuerdo con el ingreso salarial del afiliado, capacidad de pago y con la tasa de interés que establezca la Junta Directiva.</w:t>
                  </w:r>
                </w:p>
                <w:p w14:paraId="16BF3887" w14:textId="77777777" w:rsidR="00145DAE" w:rsidRPr="00145DAE" w:rsidRDefault="00145DAE" w:rsidP="00524FF4">
                  <w:pPr>
                    <w:pStyle w:val="Prrafodelista"/>
                    <w:jc w:val="both"/>
                    <w:rPr>
                      <w:rFonts w:ascii="DIN 2014" w:hAnsi="DIN 2014"/>
                      <w:szCs w:val="20"/>
                    </w:rPr>
                  </w:pPr>
                </w:p>
                <w:p w14:paraId="40E8483E" w14:textId="58230678"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2A284B04" w14:textId="77777777" w:rsidR="00145DAE" w:rsidRPr="00145DAE" w:rsidRDefault="00145DAE" w:rsidP="00524FF4">
                  <w:pPr>
                    <w:pStyle w:val="Prrafodelista"/>
                    <w:jc w:val="both"/>
                    <w:rPr>
                      <w:rFonts w:ascii="DIN 2014" w:hAnsi="DIN 2014"/>
                      <w:szCs w:val="20"/>
                    </w:rPr>
                  </w:pPr>
                </w:p>
                <w:p w14:paraId="66D29FC8"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3948B8DD" w14:textId="77777777" w:rsidR="00145DAE" w:rsidRPr="00145DAE" w:rsidRDefault="00145DAE" w:rsidP="00524FF4">
                  <w:pPr>
                    <w:pStyle w:val="Prrafodelista"/>
                    <w:jc w:val="both"/>
                    <w:rPr>
                      <w:rFonts w:ascii="DIN 2014" w:hAnsi="DIN 2014"/>
                      <w:szCs w:val="20"/>
                    </w:rPr>
                  </w:pPr>
                </w:p>
                <w:p w14:paraId="35E8BDC5"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3CC4ECFB" w14:textId="77777777" w:rsidR="00145DAE" w:rsidRPr="00145DAE" w:rsidRDefault="00145DAE" w:rsidP="00524FF4">
                  <w:pPr>
                    <w:pStyle w:val="Prrafodelista"/>
                    <w:jc w:val="both"/>
                    <w:rPr>
                      <w:rFonts w:ascii="DIN 2014" w:hAnsi="DIN 2014"/>
                      <w:szCs w:val="20"/>
                    </w:rPr>
                  </w:pPr>
                </w:p>
                <w:p w14:paraId="69C43EC9"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A98A8D" w14:textId="77777777" w:rsidR="00145DAE" w:rsidRPr="00145DAE" w:rsidRDefault="00145DAE" w:rsidP="00524FF4">
                  <w:pPr>
                    <w:pStyle w:val="Prrafodelista"/>
                    <w:jc w:val="both"/>
                    <w:rPr>
                      <w:rFonts w:ascii="DIN 2014" w:hAnsi="DIN 2014"/>
                      <w:szCs w:val="20"/>
                    </w:rPr>
                  </w:pPr>
                </w:p>
                <w:p w14:paraId="0B34FB6C"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0A9E1A8E" w14:textId="77777777" w:rsidR="00145DAE" w:rsidRPr="00145DAE" w:rsidRDefault="00145DAE" w:rsidP="00524FF4">
                  <w:pPr>
                    <w:pStyle w:val="Prrafodelista"/>
                    <w:jc w:val="both"/>
                    <w:rPr>
                      <w:rFonts w:ascii="DIN 2014" w:hAnsi="DIN 2014"/>
                      <w:szCs w:val="20"/>
                    </w:rPr>
                  </w:pPr>
                </w:p>
                <w:p w14:paraId="6E6D7587" w14:textId="52BC175D"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El FONDO NACIONAL DEL AHORRO S.A., contribuirá al otorgamiento de vivienda para los diferentes programas de Gobierno a través de Crédito Constructor Tradicional Vivienda Nueva y Terminación para promotores privados y/o constructores.</w:t>
                  </w:r>
                </w:p>
                <w:p w14:paraId="7842A1DE" w14:textId="77777777" w:rsidR="00145DAE" w:rsidRPr="00145DAE" w:rsidRDefault="00145DAE" w:rsidP="00524FF4">
                  <w:pPr>
                    <w:pStyle w:val="Prrafodelista"/>
                    <w:jc w:val="both"/>
                    <w:rPr>
                      <w:rFonts w:ascii="DIN 2014" w:hAnsi="DIN 2014"/>
                      <w:szCs w:val="20"/>
                    </w:rPr>
                  </w:pPr>
                </w:p>
                <w:p w14:paraId="2F48BC28"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La aprobación de las solicitudes de Crédito Constructor Tradicional Vivienda Nueva y Terminación estará a cargo de la Junta Directiva del FONDO NACIONAL DEL AHORRO S.A.,</w:t>
                  </w:r>
                </w:p>
                <w:p w14:paraId="146723C6" w14:textId="77777777" w:rsidR="00145DAE" w:rsidRPr="00145DAE" w:rsidRDefault="00145DAE" w:rsidP="00524FF4">
                  <w:pPr>
                    <w:pStyle w:val="Prrafodelista"/>
                    <w:jc w:val="both"/>
                    <w:rPr>
                      <w:rFonts w:ascii="DIN 2014" w:hAnsi="DIN 2014"/>
                      <w:szCs w:val="20"/>
                    </w:rPr>
                  </w:pPr>
                </w:p>
                <w:p w14:paraId="53D42338"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0C57EF58" w14:textId="77777777" w:rsidR="00145DAE" w:rsidRPr="00145DAE" w:rsidRDefault="00145DAE" w:rsidP="00524FF4">
                  <w:pPr>
                    <w:pStyle w:val="Prrafodelista"/>
                    <w:jc w:val="both"/>
                    <w:rPr>
                      <w:rFonts w:ascii="DIN 2014" w:hAnsi="DIN 2014"/>
                      <w:szCs w:val="20"/>
                    </w:rPr>
                  </w:pPr>
                </w:p>
                <w:p w14:paraId="2485A7D6" w14:textId="77777777" w:rsidR="00145DAE" w:rsidRPr="00145DAE" w:rsidRDefault="00145DAE" w:rsidP="00524FF4">
                  <w:pPr>
                    <w:numPr>
                      <w:ilvl w:val="0"/>
                      <w:numId w:val="2"/>
                    </w:numPr>
                    <w:contextualSpacing/>
                    <w:jc w:val="both"/>
                    <w:rPr>
                      <w:rFonts w:ascii="DIN 2014" w:hAnsi="DIN 2014"/>
                      <w:szCs w:val="20"/>
                    </w:rPr>
                  </w:pPr>
                  <w:r w:rsidRPr="00145DAE">
                    <w:rPr>
                      <w:rFonts w:ascii="DIN 2014" w:hAnsi="DIN 2014"/>
                      <w:szCs w:val="20"/>
                    </w:rPr>
                    <w:t>Hacen parte integral de Crédito Constructor Tradicional Vivienda Nueva y Terminación, el Reglamento de Crédito y Leasing Habitacional, los Procedimientos, Manuales e Instructivos que contengan información respecto al producto mencionado.</w:t>
                  </w:r>
                </w:p>
                <w:p w14:paraId="36847E4E" w14:textId="77777777" w:rsidR="00145DAE" w:rsidRPr="00145DAE" w:rsidRDefault="00145DAE" w:rsidP="00524FF4">
                  <w:pPr>
                    <w:pStyle w:val="Prrafodelista"/>
                    <w:jc w:val="both"/>
                    <w:rPr>
                      <w:rFonts w:ascii="DIN 2014" w:hAnsi="DIN 2014"/>
                      <w:szCs w:val="20"/>
                    </w:rPr>
                  </w:pPr>
                </w:p>
                <w:p w14:paraId="13EE4DB5" w14:textId="77777777" w:rsidR="00145DAE" w:rsidRPr="00145DAE" w:rsidRDefault="00145DAE" w:rsidP="00524FF4">
                  <w:pPr>
                    <w:ind w:left="720"/>
                    <w:contextualSpacing/>
                    <w:jc w:val="both"/>
                    <w:rPr>
                      <w:rFonts w:ascii="DIN 2014" w:hAnsi="DIN 2014"/>
                      <w:szCs w:val="20"/>
                    </w:rPr>
                  </w:pPr>
                </w:p>
                <w:p w14:paraId="3827C44A" w14:textId="35869906" w:rsidR="00145DAE" w:rsidRPr="00145DAE" w:rsidRDefault="00145DAE" w:rsidP="00524FF4">
                  <w:pPr>
                    <w:jc w:val="both"/>
                    <w:rPr>
                      <w:rFonts w:ascii="DIN 2014" w:hAnsi="DIN 2014"/>
                      <w:szCs w:val="20"/>
                    </w:rPr>
                  </w:pPr>
                  <w:r w:rsidRPr="00145DAE">
                    <w:rPr>
                      <w:rFonts w:ascii="DIN 2014" w:hAnsi="DIN 2014"/>
                      <w:szCs w:val="20"/>
                    </w:rPr>
                    <w:t xml:space="preserve">ARTÍCULO TERCERO.  Vigencia y derogatorias. El presente Acuerdo rige a partir de la puesta en marcha de los </w:t>
                  </w:r>
                  <w:r w:rsidR="00524FF4" w:rsidRPr="00145DAE">
                    <w:rPr>
                      <w:rFonts w:ascii="DIN 2014" w:hAnsi="DIN 2014"/>
                      <w:szCs w:val="20"/>
                    </w:rPr>
                    <w:t>desarrollos tecnológicos</w:t>
                  </w:r>
                  <w:r w:rsidRPr="00145DAE">
                    <w:rPr>
                      <w:rFonts w:ascii="DIN 2014" w:hAnsi="DIN 2014"/>
                      <w:szCs w:val="20"/>
                    </w:rPr>
                    <w:t>, deroga el Acuerdo 2566 de 2024 y las disposiciones que le sean contrarias.</w:t>
                  </w:r>
                </w:p>
                <w:p w14:paraId="68A212D0" w14:textId="77777777" w:rsidR="00145DAE" w:rsidRPr="00145DAE" w:rsidRDefault="00145DAE" w:rsidP="00524FF4">
                  <w:pPr>
                    <w:jc w:val="both"/>
                    <w:rPr>
                      <w:rFonts w:ascii="DIN 2014" w:hAnsi="DIN 2014"/>
                      <w:szCs w:val="20"/>
                    </w:rPr>
                  </w:pPr>
                </w:p>
                <w:p w14:paraId="2CB89DCA" w14:textId="77777777" w:rsidR="00145DAE" w:rsidRPr="00145DAE" w:rsidRDefault="00145DAE" w:rsidP="00524FF4">
                  <w:pPr>
                    <w:jc w:val="both"/>
                    <w:rPr>
                      <w:rFonts w:ascii="DIN 2014" w:hAnsi="DIN 2014"/>
                      <w:szCs w:val="20"/>
                    </w:rPr>
                  </w:pPr>
                  <w:r w:rsidRPr="00145DAE">
                    <w:rPr>
                      <w:rFonts w:ascii="DIN 2014" w:hAnsi="DIN 2014"/>
                      <w:szCs w:val="20"/>
                    </w:rPr>
                    <w:t xml:space="preserve">Con el fin de continuar a la administración de los créditos constructor que se encuentran vigentes otorgados y pactados bajo el Acuerdo 2275 de 2019, hasta tanto se cancelen en su totalidad todas estas operaciones, continuarán rigiendo los siguientes numerales del Reglamento de Crédito y Leasing Habitacional adoptado por </w:t>
                  </w:r>
                  <w:r w:rsidRPr="00145DAE">
                    <w:rPr>
                      <w:rFonts w:ascii="DIN 2014" w:hAnsi="DIN 2014"/>
                      <w:szCs w:val="20"/>
                    </w:rPr>
                    <w:lastRenderedPageBreak/>
                    <w:t>el acuerdo antes mencionado: 5.2.4 - 5.4 (Parágrafo); 5.5 - 5.6.1 - 5.6.2 - 5.6.5 (Inciso 1, 3 y parágrafo) - 5.9 - 5.9.4 - 5.9.5 - 5.9.6 - 5.9.7 - 5.10 - 5.11 - 5.12 - 5.13 - 5.14 - 5.17 y las definiciones que aplican a crédito constructor.</w:t>
                  </w:r>
                </w:p>
                <w:p w14:paraId="418A1B42" w14:textId="77777777" w:rsidR="00145DAE" w:rsidRPr="00145DAE" w:rsidRDefault="00145DAE" w:rsidP="00524FF4">
                  <w:pPr>
                    <w:jc w:val="both"/>
                    <w:rPr>
                      <w:rFonts w:ascii="DIN 2014" w:hAnsi="DIN 2014"/>
                      <w:szCs w:val="20"/>
                    </w:rPr>
                  </w:pPr>
                </w:p>
                <w:p w14:paraId="6A449AC0" w14:textId="77777777" w:rsidR="00145DAE" w:rsidRPr="00145DAE" w:rsidRDefault="00145DAE" w:rsidP="00524FF4">
                  <w:pPr>
                    <w:jc w:val="both"/>
                    <w:rPr>
                      <w:rFonts w:ascii="DIN 2014" w:hAnsi="DIN 2014"/>
                      <w:szCs w:val="20"/>
                    </w:rPr>
                  </w:pPr>
                </w:p>
              </w:tc>
            </w:tr>
          </w:tbl>
          <w:p w14:paraId="25B559A3" w14:textId="14D92899" w:rsidR="00145DAE" w:rsidRDefault="00145DAE" w:rsidP="00524FF4">
            <w:pPr>
              <w:ind w:right="-340"/>
              <w:jc w:val="center"/>
              <w:rPr>
                <w:rFonts w:ascii="DIN 2014" w:hAnsi="DIN 2014"/>
                <w:szCs w:val="20"/>
              </w:rPr>
            </w:pPr>
            <w:r w:rsidRPr="00145DAE">
              <w:rPr>
                <w:rFonts w:ascii="DIN 2014" w:hAnsi="DIN 2014"/>
                <w:szCs w:val="20"/>
              </w:rPr>
              <w:lastRenderedPageBreak/>
              <w:t>PUBLÍQUESE, Y CÚMPLASE</w:t>
            </w:r>
          </w:p>
          <w:p w14:paraId="6F99E848" w14:textId="77777777" w:rsidR="00524FF4" w:rsidRPr="00145DAE" w:rsidRDefault="00524FF4" w:rsidP="00524FF4">
            <w:pPr>
              <w:ind w:right="-340"/>
              <w:jc w:val="center"/>
              <w:rPr>
                <w:rFonts w:ascii="DIN 2014" w:hAnsi="DIN 2014"/>
                <w:szCs w:val="20"/>
              </w:rPr>
            </w:pPr>
          </w:p>
          <w:p w14:paraId="393C8966" w14:textId="77777777" w:rsidR="00145DAE" w:rsidRPr="00145DAE" w:rsidRDefault="00145DAE" w:rsidP="00524FF4">
            <w:pPr>
              <w:ind w:right="851"/>
              <w:jc w:val="center"/>
              <w:rPr>
                <w:rFonts w:ascii="DIN 2014" w:hAnsi="DIN 2014"/>
                <w:szCs w:val="20"/>
              </w:rPr>
            </w:pPr>
          </w:p>
          <w:p w14:paraId="626FD6F5" w14:textId="77777777" w:rsidR="00145DAE" w:rsidRPr="00145DAE" w:rsidRDefault="00145DAE" w:rsidP="00524FF4">
            <w:pPr>
              <w:ind w:right="851"/>
              <w:rPr>
                <w:rFonts w:ascii="DIN 2014" w:hAnsi="DIN 2014"/>
                <w:szCs w:val="20"/>
              </w:rPr>
            </w:pPr>
            <w:r w:rsidRPr="00145DAE">
              <w:rPr>
                <w:rFonts w:ascii="DIN 2014" w:hAnsi="DIN 2014"/>
                <w:szCs w:val="20"/>
              </w:rPr>
              <w:t>Dada en la ciudad de Bogotá, a los</w:t>
            </w:r>
          </w:p>
          <w:p w14:paraId="77966B16" w14:textId="77777777" w:rsidR="00145DAE" w:rsidRDefault="00145DAE" w:rsidP="00524FF4">
            <w:pPr>
              <w:ind w:right="851"/>
              <w:jc w:val="center"/>
              <w:rPr>
                <w:rFonts w:ascii="DIN 2014" w:hAnsi="DIN 2014"/>
                <w:szCs w:val="20"/>
              </w:rPr>
            </w:pPr>
          </w:p>
          <w:p w14:paraId="63FE58F0" w14:textId="77777777" w:rsidR="00524FF4" w:rsidRDefault="00524FF4" w:rsidP="00524FF4">
            <w:pPr>
              <w:ind w:right="851"/>
              <w:jc w:val="center"/>
              <w:rPr>
                <w:rFonts w:ascii="DIN 2014" w:hAnsi="DIN 2014"/>
                <w:szCs w:val="20"/>
              </w:rPr>
            </w:pPr>
          </w:p>
          <w:p w14:paraId="2D5B1921" w14:textId="77777777" w:rsidR="00524FF4" w:rsidRDefault="00524FF4" w:rsidP="00524FF4">
            <w:pPr>
              <w:ind w:right="851"/>
              <w:jc w:val="center"/>
              <w:rPr>
                <w:rFonts w:ascii="DIN 2014" w:hAnsi="DIN 2014"/>
                <w:szCs w:val="20"/>
              </w:rPr>
            </w:pPr>
          </w:p>
          <w:p w14:paraId="1782108E" w14:textId="77777777" w:rsidR="00524FF4" w:rsidRDefault="00524FF4" w:rsidP="00524FF4">
            <w:pPr>
              <w:ind w:right="851"/>
              <w:jc w:val="center"/>
              <w:rPr>
                <w:rFonts w:ascii="DIN 2014" w:hAnsi="DIN 2014"/>
                <w:szCs w:val="20"/>
              </w:rPr>
            </w:pPr>
          </w:p>
          <w:p w14:paraId="6F4F972F" w14:textId="77777777" w:rsidR="00524FF4" w:rsidRPr="00145DAE" w:rsidRDefault="00524FF4" w:rsidP="00524FF4">
            <w:pPr>
              <w:ind w:right="851"/>
              <w:jc w:val="center"/>
              <w:rPr>
                <w:rFonts w:ascii="DIN 2014" w:hAnsi="DIN 2014"/>
                <w:szCs w:val="20"/>
              </w:rPr>
            </w:pPr>
          </w:p>
          <w:p w14:paraId="60973562" w14:textId="77777777" w:rsidR="00145DAE" w:rsidRPr="00145DAE" w:rsidRDefault="00145DAE" w:rsidP="00524FF4">
            <w:pPr>
              <w:ind w:right="851"/>
              <w:jc w:val="center"/>
              <w:rPr>
                <w:rFonts w:ascii="DIN 2014" w:hAnsi="DIN 2014"/>
                <w:szCs w:val="20"/>
              </w:rPr>
            </w:pPr>
          </w:p>
        </w:tc>
      </w:tr>
    </w:tbl>
    <w:p w14:paraId="11228223" w14:textId="77777777" w:rsidR="00145DAE" w:rsidRPr="006232B6" w:rsidRDefault="00145DAE" w:rsidP="00524FF4">
      <w:pPr>
        <w:jc w:val="both"/>
        <w:rPr>
          <w:rFonts w:ascii="DIN 2014" w:hAnsi="DIN 2014"/>
          <w:szCs w:val="20"/>
          <w:lang w:val="pt-PT"/>
        </w:rPr>
      </w:pPr>
      <w:bookmarkStart w:id="0" w:name="_Hlk184808243"/>
      <w:r w:rsidRPr="006232B6">
        <w:rPr>
          <w:rFonts w:ascii="DIN 2014" w:hAnsi="DIN 2014"/>
          <w:szCs w:val="20"/>
          <w:lang w:val="pt-PT"/>
        </w:rPr>
        <w:lastRenderedPageBreak/>
        <w:t xml:space="preserve">HELGA MARIA RIVAS ARDILA   </w:t>
      </w:r>
      <w:r w:rsidRPr="006232B6">
        <w:rPr>
          <w:rFonts w:ascii="DIN 2014" w:hAnsi="DIN 2014"/>
          <w:szCs w:val="20"/>
          <w:lang w:val="pt-PT"/>
        </w:rPr>
        <w:tab/>
      </w:r>
      <w:r w:rsidRPr="006232B6">
        <w:rPr>
          <w:rFonts w:ascii="DIN 2014" w:hAnsi="DIN 2014"/>
          <w:szCs w:val="20"/>
          <w:lang w:val="pt-PT"/>
        </w:rPr>
        <w:tab/>
        <w:t xml:space="preserve">  SANDRA MILENA BURGOS BELTRAN</w:t>
      </w:r>
    </w:p>
    <w:p w14:paraId="73E7290A" w14:textId="69F738F1" w:rsidR="00145DAE" w:rsidRPr="006232B6" w:rsidRDefault="00145DAE" w:rsidP="00524FF4">
      <w:pPr>
        <w:pStyle w:val="Sinespaciado"/>
        <w:jc w:val="both"/>
        <w:rPr>
          <w:rFonts w:ascii="DIN 2014" w:hAnsi="DIN 2014"/>
          <w:szCs w:val="20"/>
          <w:lang w:val="pt-PT"/>
        </w:rPr>
      </w:pPr>
      <w:r w:rsidRPr="006232B6">
        <w:rPr>
          <w:rFonts w:ascii="DIN 2014" w:hAnsi="DIN 2014"/>
          <w:szCs w:val="20"/>
          <w:lang w:val="pt-PT"/>
        </w:rPr>
        <w:t>PRESIDENTE JUNTA DIRECTIVA                         SECRETARIO JUNTA DIRECTIVA</w:t>
      </w:r>
    </w:p>
    <w:p w14:paraId="061E6AE8" w14:textId="77777777" w:rsidR="00145DAE" w:rsidRPr="006232B6" w:rsidRDefault="00145DAE" w:rsidP="00524FF4">
      <w:pPr>
        <w:pStyle w:val="Sinespaciado"/>
        <w:jc w:val="center"/>
        <w:rPr>
          <w:rFonts w:ascii="DIN 2014" w:hAnsi="DIN 2014"/>
          <w:sz w:val="18"/>
          <w:szCs w:val="18"/>
          <w:lang w:val="pt-PT"/>
        </w:rPr>
      </w:pPr>
    </w:p>
    <w:p w14:paraId="57F80CF0" w14:textId="77777777" w:rsidR="00145DAE" w:rsidRPr="006232B6" w:rsidRDefault="00145DAE" w:rsidP="00524FF4">
      <w:pPr>
        <w:pStyle w:val="Sinespaciado"/>
        <w:rPr>
          <w:rFonts w:ascii="DIN 2014" w:hAnsi="DIN 2014"/>
          <w:sz w:val="18"/>
          <w:szCs w:val="18"/>
          <w:lang w:val="pt-PT"/>
        </w:rPr>
      </w:pPr>
    </w:p>
    <w:p w14:paraId="6215380A" w14:textId="2C31D84F" w:rsidR="00145DAE" w:rsidRPr="006E1753" w:rsidRDefault="00524FF4" w:rsidP="00524FF4">
      <w:pPr>
        <w:rPr>
          <w:rFonts w:ascii="DIN 2014" w:hAnsi="DIN 2014"/>
          <w:sz w:val="18"/>
          <w:szCs w:val="18"/>
        </w:rPr>
      </w:pPr>
      <w:r w:rsidRPr="006232B6">
        <w:rPr>
          <w:rFonts w:ascii="DIN 2014" w:hAnsi="DIN 2014"/>
          <w:sz w:val="18"/>
          <w:szCs w:val="18"/>
          <w:lang w:val="pt-PT"/>
        </w:rPr>
        <w:t xml:space="preserve"> </w:t>
      </w:r>
      <w:r w:rsidR="00145DAE" w:rsidRPr="006232B6">
        <w:rPr>
          <w:rFonts w:ascii="DIN 2014" w:hAnsi="DIN 2014"/>
          <w:sz w:val="18"/>
          <w:szCs w:val="18"/>
          <w:lang w:val="pt-PT"/>
        </w:rPr>
        <w:t xml:space="preserve">Vo.Bo.      Maria Alejandra Salas Alvarez     </w:t>
      </w:r>
      <w:r w:rsidRPr="006232B6">
        <w:rPr>
          <w:rFonts w:ascii="DIN 2014" w:hAnsi="DIN 2014"/>
          <w:sz w:val="18"/>
          <w:szCs w:val="18"/>
          <w:lang w:val="pt-PT"/>
        </w:rPr>
        <w:t xml:space="preserve">                 </w:t>
      </w:r>
      <w:r w:rsidR="00145DAE" w:rsidRPr="006232B6">
        <w:rPr>
          <w:rFonts w:ascii="DIN 2014" w:hAnsi="DIN 2014"/>
          <w:sz w:val="18"/>
          <w:szCs w:val="18"/>
          <w:lang w:val="pt-PT"/>
        </w:rPr>
        <w:t xml:space="preserve">  </w:t>
      </w:r>
      <w:r w:rsidR="006E1753" w:rsidRPr="006232B6">
        <w:rPr>
          <w:rFonts w:ascii="DIN 2014" w:hAnsi="DIN 2014"/>
          <w:sz w:val="18"/>
          <w:szCs w:val="18"/>
          <w:lang w:val="pt-PT"/>
        </w:rPr>
        <w:t xml:space="preserve">              </w:t>
      </w:r>
      <w:r w:rsidR="00145DAE" w:rsidRPr="006232B6">
        <w:rPr>
          <w:rFonts w:ascii="DIN 2014" w:hAnsi="DIN 2014"/>
          <w:sz w:val="18"/>
          <w:szCs w:val="18"/>
          <w:lang w:val="pt-PT"/>
        </w:rPr>
        <w:t xml:space="preserve"> Vo.Bo.     </w:t>
      </w:r>
      <w:r w:rsidR="00145DAE" w:rsidRPr="006E1753">
        <w:rPr>
          <w:rFonts w:ascii="DIN 2014" w:hAnsi="DIN 2014"/>
          <w:sz w:val="18"/>
          <w:szCs w:val="18"/>
        </w:rPr>
        <w:t>Jesús Enrique Pérez Pérez</w:t>
      </w:r>
    </w:p>
    <w:p w14:paraId="6313C434" w14:textId="7EB14A2B" w:rsidR="00145DAE" w:rsidRPr="006E1753" w:rsidRDefault="00524FF4" w:rsidP="00524FF4">
      <w:pPr>
        <w:rPr>
          <w:rFonts w:ascii="DIN 2014" w:hAnsi="DIN 2014"/>
          <w:sz w:val="18"/>
          <w:szCs w:val="18"/>
        </w:rPr>
      </w:pPr>
      <w:r w:rsidRPr="006E1753">
        <w:rPr>
          <w:rFonts w:ascii="DIN 2014" w:hAnsi="DIN 2014"/>
          <w:sz w:val="18"/>
          <w:szCs w:val="18"/>
        </w:rPr>
        <w:t xml:space="preserve"> </w:t>
      </w:r>
      <w:r w:rsidR="00145DAE" w:rsidRPr="006E1753">
        <w:rPr>
          <w:rFonts w:ascii="DIN 2014" w:hAnsi="DIN 2014"/>
          <w:sz w:val="18"/>
          <w:szCs w:val="18"/>
        </w:rPr>
        <w:t xml:space="preserve">Vicepresidencia Jurídica                                         </w:t>
      </w:r>
      <w:r w:rsidRPr="006E1753">
        <w:rPr>
          <w:rFonts w:ascii="DIN 2014" w:hAnsi="DIN 2014"/>
          <w:sz w:val="18"/>
          <w:szCs w:val="18"/>
        </w:rPr>
        <w:t xml:space="preserve">              </w:t>
      </w:r>
      <w:r w:rsidR="006E1753" w:rsidRPr="006E1753">
        <w:rPr>
          <w:rFonts w:ascii="DIN 2014" w:hAnsi="DIN 2014"/>
          <w:sz w:val="18"/>
          <w:szCs w:val="18"/>
        </w:rPr>
        <w:t xml:space="preserve">           </w:t>
      </w:r>
      <w:r w:rsidR="00145DAE" w:rsidRPr="006E1753">
        <w:rPr>
          <w:rFonts w:ascii="DIN 2014" w:hAnsi="DIN 2014"/>
          <w:sz w:val="18"/>
          <w:szCs w:val="18"/>
        </w:rPr>
        <w:t>Gerencia Vivienda Colocación (E)</w:t>
      </w:r>
    </w:p>
    <w:tbl>
      <w:tblPr>
        <w:tblW w:w="0" w:type="auto"/>
        <w:tblLook w:val="04A0" w:firstRow="1" w:lastRow="0" w:firstColumn="1" w:lastColumn="0" w:noHBand="0" w:noVBand="1"/>
      </w:tblPr>
      <w:tblGrid>
        <w:gridCol w:w="4299"/>
        <w:gridCol w:w="4299"/>
      </w:tblGrid>
      <w:tr w:rsidR="00145DAE" w:rsidRPr="006E1753" w14:paraId="5A72F639" w14:textId="77777777" w:rsidTr="00364263">
        <w:tc>
          <w:tcPr>
            <w:tcW w:w="4299" w:type="dxa"/>
            <w:shd w:val="clear" w:color="auto" w:fill="auto"/>
          </w:tcPr>
          <w:p w14:paraId="50E34611" w14:textId="77777777" w:rsidR="00524FF4" w:rsidRPr="006E1753" w:rsidRDefault="00524FF4" w:rsidP="00524FF4">
            <w:pPr>
              <w:ind w:right="50"/>
              <w:rPr>
                <w:rFonts w:ascii="DIN 2014" w:hAnsi="DIN 2014"/>
                <w:sz w:val="18"/>
                <w:szCs w:val="18"/>
              </w:rPr>
            </w:pPr>
          </w:p>
          <w:p w14:paraId="085AE04D" w14:textId="69D2A3D0" w:rsidR="00145DAE" w:rsidRPr="006E1753" w:rsidRDefault="00145DAE" w:rsidP="00524FF4">
            <w:pPr>
              <w:ind w:right="50"/>
              <w:rPr>
                <w:rFonts w:ascii="DIN 2014" w:hAnsi="DIN 2014"/>
                <w:sz w:val="18"/>
                <w:szCs w:val="18"/>
              </w:rPr>
            </w:pPr>
            <w:r w:rsidRPr="006E1753">
              <w:rPr>
                <w:rFonts w:ascii="DIN 2014" w:hAnsi="DIN 2014"/>
                <w:sz w:val="18"/>
                <w:szCs w:val="18"/>
              </w:rPr>
              <w:t>Vo.Bo.      Gloria Esperanza Chávez Bejarano</w:t>
            </w:r>
          </w:p>
          <w:p w14:paraId="215BA28C" w14:textId="2334372C" w:rsidR="00145DAE" w:rsidRPr="006E1753" w:rsidRDefault="00145DAE" w:rsidP="00524FF4">
            <w:pPr>
              <w:ind w:right="50"/>
              <w:rPr>
                <w:rFonts w:ascii="DIN 2014" w:hAnsi="DIN 2014"/>
                <w:sz w:val="18"/>
                <w:szCs w:val="18"/>
              </w:rPr>
            </w:pPr>
            <w:r w:rsidRPr="006E1753">
              <w:rPr>
                <w:rFonts w:ascii="DIN 2014" w:hAnsi="DIN 2014"/>
                <w:sz w:val="18"/>
                <w:szCs w:val="18"/>
              </w:rPr>
              <w:t>Vicepresidencia de Operaciones</w:t>
            </w:r>
          </w:p>
          <w:p w14:paraId="7F5F044B" w14:textId="77777777" w:rsidR="00524FF4" w:rsidRPr="006E1753" w:rsidRDefault="00524FF4" w:rsidP="00524FF4">
            <w:pPr>
              <w:ind w:right="50"/>
              <w:rPr>
                <w:rFonts w:ascii="DIN 2014" w:hAnsi="DIN 2014"/>
                <w:sz w:val="18"/>
                <w:szCs w:val="18"/>
              </w:rPr>
            </w:pPr>
          </w:p>
          <w:p w14:paraId="53778DA7" w14:textId="4789751F" w:rsidR="00145DAE" w:rsidRPr="006E1753" w:rsidRDefault="00145DAE" w:rsidP="00524FF4">
            <w:pPr>
              <w:ind w:right="50"/>
              <w:rPr>
                <w:rFonts w:ascii="DIN 2014" w:hAnsi="DIN 2014"/>
                <w:sz w:val="18"/>
                <w:szCs w:val="18"/>
              </w:rPr>
            </w:pPr>
            <w:r w:rsidRPr="006E1753">
              <w:rPr>
                <w:rFonts w:ascii="DIN 2014" w:hAnsi="DIN 2014"/>
                <w:sz w:val="18"/>
                <w:szCs w:val="18"/>
              </w:rPr>
              <w:t>Vo.Bo.     Raiza Isabel de Luque Curiel</w:t>
            </w:r>
          </w:p>
          <w:p w14:paraId="2C8233BC" w14:textId="685D6055" w:rsidR="00145DAE" w:rsidRPr="006E1753" w:rsidRDefault="00145DAE" w:rsidP="00524FF4">
            <w:pPr>
              <w:ind w:right="50"/>
              <w:rPr>
                <w:rFonts w:ascii="DIN 2014" w:hAnsi="DIN 2014"/>
                <w:sz w:val="18"/>
                <w:szCs w:val="18"/>
              </w:rPr>
            </w:pPr>
            <w:r w:rsidRPr="006E1753">
              <w:rPr>
                <w:rFonts w:ascii="DIN 2014" w:hAnsi="DIN 2014"/>
                <w:sz w:val="18"/>
                <w:szCs w:val="18"/>
              </w:rPr>
              <w:t>Vicepresidencia de Crédito</w:t>
            </w:r>
          </w:p>
          <w:p w14:paraId="412B60A4" w14:textId="77777777" w:rsidR="00524FF4" w:rsidRPr="006E1753" w:rsidRDefault="00524FF4" w:rsidP="00524FF4">
            <w:pPr>
              <w:ind w:right="50"/>
              <w:rPr>
                <w:rFonts w:ascii="DIN 2014" w:hAnsi="DIN 2014"/>
                <w:sz w:val="18"/>
                <w:szCs w:val="18"/>
              </w:rPr>
            </w:pPr>
          </w:p>
          <w:p w14:paraId="1A0774A3" w14:textId="3A03DC68" w:rsidR="00145DAE" w:rsidRPr="006E1753" w:rsidRDefault="00145DAE" w:rsidP="00524FF4">
            <w:pPr>
              <w:ind w:right="50"/>
              <w:rPr>
                <w:rFonts w:ascii="DIN 2014" w:hAnsi="DIN 2014"/>
                <w:sz w:val="18"/>
                <w:szCs w:val="18"/>
              </w:rPr>
            </w:pPr>
            <w:r w:rsidRPr="006E1753">
              <w:rPr>
                <w:rFonts w:ascii="DIN 2014" w:hAnsi="DIN 2014"/>
                <w:sz w:val="18"/>
                <w:szCs w:val="18"/>
              </w:rPr>
              <w:t>Vo. Bo     Luis Gabriel Marin Garcia</w:t>
            </w:r>
          </w:p>
          <w:p w14:paraId="2B1253AE" w14:textId="44189DCA" w:rsidR="00145DAE" w:rsidRPr="006E1753" w:rsidRDefault="00145DAE" w:rsidP="00524FF4">
            <w:pPr>
              <w:ind w:right="50"/>
              <w:rPr>
                <w:rFonts w:ascii="DIN 2014" w:hAnsi="DIN 2014"/>
                <w:sz w:val="18"/>
                <w:szCs w:val="18"/>
              </w:rPr>
            </w:pPr>
            <w:r w:rsidRPr="006E1753">
              <w:rPr>
                <w:rFonts w:ascii="DIN 2014" w:hAnsi="DIN 2014"/>
                <w:sz w:val="18"/>
                <w:szCs w:val="18"/>
              </w:rPr>
              <w:t>Vicepresidencia Empresarial</w:t>
            </w:r>
          </w:p>
          <w:p w14:paraId="2F4BFD51" w14:textId="77777777" w:rsidR="00524FF4" w:rsidRPr="006E1753" w:rsidRDefault="00524FF4" w:rsidP="00524FF4">
            <w:pPr>
              <w:ind w:right="50"/>
              <w:rPr>
                <w:rFonts w:ascii="DIN 2014" w:hAnsi="DIN 2014"/>
                <w:sz w:val="18"/>
                <w:szCs w:val="18"/>
              </w:rPr>
            </w:pPr>
          </w:p>
          <w:p w14:paraId="7920F21B" w14:textId="7B34AFDF" w:rsidR="00145DAE" w:rsidRPr="006E1753" w:rsidRDefault="00145DAE" w:rsidP="00524FF4">
            <w:pPr>
              <w:ind w:right="50"/>
              <w:rPr>
                <w:rFonts w:ascii="DIN 2014" w:hAnsi="DIN 2014"/>
                <w:sz w:val="18"/>
                <w:szCs w:val="18"/>
              </w:rPr>
            </w:pPr>
            <w:r w:rsidRPr="006E1753">
              <w:rPr>
                <w:rFonts w:ascii="DIN 2014" w:hAnsi="DIN 2014"/>
                <w:sz w:val="18"/>
                <w:szCs w:val="18"/>
              </w:rPr>
              <w:t>Vo.Bo.     Hernan Gionvanni Rios Linares</w:t>
            </w:r>
          </w:p>
          <w:p w14:paraId="7FF4E2FA" w14:textId="239946C8" w:rsidR="00145DAE" w:rsidRPr="006E1753" w:rsidRDefault="00145DAE" w:rsidP="00524FF4">
            <w:pPr>
              <w:ind w:right="50"/>
              <w:rPr>
                <w:rFonts w:ascii="DIN 2014" w:hAnsi="DIN 2014"/>
                <w:sz w:val="18"/>
                <w:szCs w:val="18"/>
              </w:rPr>
            </w:pPr>
            <w:r w:rsidRPr="006E1753">
              <w:rPr>
                <w:rFonts w:ascii="DIN 2014" w:hAnsi="DIN 2014"/>
                <w:sz w:val="18"/>
                <w:szCs w:val="18"/>
              </w:rPr>
              <w:t>Vicepresidente Tecnológica y Transformación</w:t>
            </w:r>
          </w:p>
          <w:p w14:paraId="70B483AF" w14:textId="4A3D2FB6" w:rsidR="00145DAE" w:rsidRPr="006E1753" w:rsidRDefault="00145DAE" w:rsidP="00524FF4">
            <w:pPr>
              <w:ind w:right="50"/>
              <w:rPr>
                <w:rFonts w:ascii="DIN 2014" w:hAnsi="DIN 2014"/>
                <w:sz w:val="18"/>
                <w:szCs w:val="18"/>
              </w:rPr>
            </w:pPr>
            <w:r w:rsidRPr="006E1753">
              <w:rPr>
                <w:rFonts w:ascii="DIN 2014" w:hAnsi="DIN 2014"/>
                <w:sz w:val="18"/>
                <w:szCs w:val="18"/>
              </w:rPr>
              <w:t>Digital</w:t>
            </w:r>
          </w:p>
          <w:p w14:paraId="582CBBF2" w14:textId="77777777" w:rsidR="00145DAE" w:rsidRPr="006E1753" w:rsidRDefault="00145DAE" w:rsidP="00524FF4">
            <w:pPr>
              <w:rPr>
                <w:rFonts w:ascii="DIN 2014" w:hAnsi="DIN 2014"/>
                <w:sz w:val="18"/>
                <w:szCs w:val="18"/>
              </w:rPr>
            </w:pPr>
          </w:p>
        </w:tc>
        <w:tc>
          <w:tcPr>
            <w:tcW w:w="4299" w:type="dxa"/>
            <w:shd w:val="clear" w:color="auto" w:fill="auto"/>
          </w:tcPr>
          <w:p w14:paraId="04230103" w14:textId="77777777" w:rsidR="00524FF4" w:rsidRPr="006E1753" w:rsidRDefault="00524FF4" w:rsidP="00524FF4">
            <w:pPr>
              <w:ind w:right="50"/>
              <w:rPr>
                <w:rFonts w:ascii="DIN 2014" w:hAnsi="DIN 2014"/>
                <w:sz w:val="18"/>
                <w:szCs w:val="18"/>
              </w:rPr>
            </w:pPr>
          </w:p>
          <w:p w14:paraId="473317FE" w14:textId="723F5EC1" w:rsidR="00145DAE" w:rsidRPr="006E1753" w:rsidRDefault="00145DAE" w:rsidP="00524FF4">
            <w:pPr>
              <w:ind w:right="50"/>
              <w:rPr>
                <w:rFonts w:ascii="DIN 2014" w:hAnsi="DIN 2014"/>
                <w:sz w:val="18"/>
                <w:szCs w:val="18"/>
              </w:rPr>
            </w:pPr>
            <w:r w:rsidRPr="006E1753">
              <w:rPr>
                <w:rFonts w:ascii="DIN 2014" w:hAnsi="DIN 2014"/>
                <w:sz w:val="18"/>
                <w:szCs w:val="18"/>
              </w:rPr>
              <w:t xml:space="preserve">Vo.Bo. </w:t>
            </w:r>
            <w:r w:rsidRPr="006E1753">
              <w:rPr>
                <w:rFonts w:ascii="DIN 2014" w:hAnsi="DIN 2014"/>
                <w:sz w:val="18"/>
                <w:szCs w:val="18"/>
              </w:rPr>
              <w:tab/>
              <w:t>Zulma Patricia Gonzalez Muñoz</w:t>
            </w:r>
          </w:p>
          <w:p w14:paraId="0E2C4664" w14:textId="74AE4C14" w:rsidR="00145DAE" w:rsidRPr="006E1753" w:rsidRDefault="00145DAE" w:rsidP="00524FF4">
            <w:pPr>
              <w:ind w:right="50"/>
              <w:rPr>
                <w:rFonts w:ascii="DIN 2014" w:hAnsi="DIN 2014"/>
                <w:sz w:val="18"/>
                <w:szCs w:val="18"/>
              </w:rPr>
            </w:pPr>
            <w:r w:rsidRPr="006E1753">
              <w:rPr>
                <w:rFonts w:ascii="DIN 2014" w:hAnsi="DIN 2014"/>
                <w:sz w:val="18"/>
                <w:szCs w:val="18"/>
              </w:rPr>
              <w:t>Gerencia Asesorías y Conceptos</w:t>
            </w:r>
          </w:p>
          <w:p w14:paraId="37C92EBB" w14:textId="77777777" w:rsidR="00524FF4" w:rsidRPr="006E1753" w:rsidRDefault="00524FF4" w:rsidP="00524FF4">
            <w:pPr>
              <w:ind w:right="50"/>
              <w:rPr>
                <w:rFonts w:ascii="DIN 2014" w:hAnsi="DIN 2014"/>
                <w:sz w:val="18"/>
                <w:szCs w:val="18"/>
              </w:rPr>
            </w:pPr>
          </w:p>
          <w:p w14:paraId="53951902" w14:textId="4DEA7CF9" w:rsidR="00145DAE" w:rsidRPr="006E1753" w:rsidRDefault="00145DAE" w:rsidP="00524FF4">
            <w:pPr>
              <w:ind w:right="50"/>
              <w:rPr>
                <w:rFonts w:ascii="DIN 2014" w:hAnsi="DIN 2014"/>
                <w:sz w:val="18"/>
                <w:szCs w:val="18"/>
              </w:rPr>
            </w:pPr>
            <w:r w:rsidRPr="006E1753">
              <w:rPr>
                <w:rFonts w:ascii="DIN 2014" w:hAnsi="DIN 2014"/>
                <w:sz w:val="18"/>
                <w:szCs w:val="18"/>
              </w:rPr>
              <w:t>Vo.Bo.     Avelino Orlando Diaz Rendon</w:t>
            </w:r>
          </w:p>
          <w:p w14:paraId="19ED41CA" w14:textId="4BEC9CBA" w:rsidR="00145DAE" w:rsidRPr="006E1753" w:rsidRDefault="00145DAE" w:rsidP="00524FF4">
            <w:pPr>
              <w:ind w:right="50"/>
              <w:rPr>
                <w:rFonts w:ascii="DIN 2014" w:hAnsi="DIN 2014"/>
                <w:sz w:val="18"/>
                <w:szCs w:val="18"/>
              </w:rPr>
            </w:pPr>
            <w:r w:rsidRPr="006E1753">
              <w:rPr>
                <w:rFonts w:ascii="DIN 2014" w:hAnsi="DIN 2014"/>
                <w:sz w:val="18"/>
                <w:szCs w:val="18"/>
              </w:rPr>
              <w:t>Gerencia Gestión de Procesos</w:t>
            </w:r>
          </w:p>
          <w:p w14:paraId="2CD28397" w14:textId="77777777" w:rsidR="00524FF4" w:rsidRPr="006E1753" w:rsidRDefault="00524FF4" w:rsidP="00524FF4">
            <w:pPr>
              <w:ind w:right="50"/>
              <w:rPr>
                <w:rFonts w:ascii="DIN 2014" w:hAnsi="DIN 2014"/>
                <w:sz w:val="18"/>
                <w:szCs w:val="18"/>
              </w:rPr>
            </w:pPr>
          </w:p>
          <w:p w14:paraId="3E01909D" w14:textId="3C128058" w:rsidR="00145DAE" w:rsidRPr="006E1753" w:rsidRDefault="00145DAE" w:rsidP="00524FF4">
            <w:pPr>
              <w:ind w:right="50"/>
              <w:rPr>
                <w:rFonts w:ascii="DIN 2014" w:hAnsi="DIN 2014"/>
                <w:sz w:val="18"/>
                <w:szCs w:val="18"/>
              </w:rPr>
            </w:pPr>
            <w:r w:rsidRPr="006E1753">
              <w:rPr>
                <w:rFonts w:ascii="DIN 2014" w:hAnsi="DIN 2014"/>
                <w:sz w:val="18"/>
                <w:szCs w:val="18"/>
              </w:rPr>
              <w:t>Vo.Bo.     Yuly Paola Vertel de la Ossa</w:t>
            </w:r>
          </w:p>
          <w:p w14:paraId="5D15B3A5" w14:textId="4F456389" w:rsidR="00145DAE" w:rsidRPr="006E1753" w:rsidRDefault="00145DAE" w:rsidP="00524FF4">
            <w:pPr>
              <w:rPr>
                <w:rFonts w:ascii="DIN 2014" w:hAnsi="DIN 2014"/>
                <w:sz w:val="18"/>
                <w:szCs w:val="18"/>
              </w:rPr>
            </w:pPr>
            <w:r w:rsidRPr="006E1753">
              <w:rPr>
                <w:rFonts w:ascii="DIN 2014" w:hAnsi="DIN 2014"/>
                <w:sz w:val="18"/>
                <w:szCs w:val="18"/>
              </w:rPr>
              <w:t>Gerencia Desarrollo Negocios</w:t>
            </w:r>
          </w:p>
          <w:p w14:paraId="127D3E7B" w14:textId="77777777" w:rsidR="00524FF4" w:rsidRPr="006E1753" w:rsidRDefault="00524FF4" w:rsidP="00524FF4">
            <w:pPr>
              <w:rPr>
                <w:rFonts w:ascii="DIN 2014" w:hAnsi="DIN 2014"/>
                <w:sz w:val="18"/>
                <w:szCs w:val="18"/>
              </w:rPr>
            </w:pPr>
          </w:p>
          <w:p w14:paraId="2499AE44" w14:textId="230F069B" w:rsidR="00145DAE" w:rsidRPr="006232B6" w:rsidRDefault="00145DAE" w:rsidP="00524FF4">
            <w:pPr>
              <w:rPr>
                <w:rFonts w:ascii="DIN 2014" w:hAnsi="DIN 2014"/>
                <w:sz w:val="18"/>
                <w:szCs w:val="18"/>
                <w:lang w:val="pt-PT"/>
              </w:rPr>
            </w:pPr>
            <w:r w:rsidRPr="006E1753">
              <w:rPr>
                <w:rFonts w:ascii="DIN 2014" w:hAnsi="DIN 2014"/>
                <w:sz w:val="18"/>
                <w:szCs w:val="18"/>
              </w:rPr>
              <w:t xml:space="preserve">Vo.Bo.      </w:t>
            </w:r>
            <w:r w:rsidRPr="006232B6">
              <w:rPr>
                <w:rFonts w:ascii="DIN 2014" w:hAnsi="DIN 2014"/>
                <w:sz w:val="18"/>
                <w:szCs w:val="18"/>
                <w:lang w:val="pt-PT"/>
              </w:rPr>
              <w:t>Sandra Velez Tannus</w:t>
            </w:r>
          </w:p>
          <w:p w14:paraId="36BF1AB4" w14:textId="3408620D" w:rsidR="00145DAE" w:rsidRPr="006232B6" w:rsidRDefault="00145DAE" w:rsidP="00524FF4">
            <w:pPr>
              <w:rPr>
                <w:rFonts w:ascii="DIN 2014" w:hAnsi="DIN 2014"/>
                <w:sz w:val="18"/>
                <w:szCs w:val="18"/>
                <w:lang w:val="pt-PT"/>
              </w:rPr>
            </w:pPr>
            <w:r w:rsidRPr="006232B6">
              <w:rPr>
                <w:rFonts w:ascii="DIN 2014" w:hAnsi="DIN 2014"/>
                <w:sz w:val="18"/>
                <w:szCs w:val="18"/>
                <w:lang w:val="pt-PT"/>
              </w:rPr>
              <w:t>Gerente de Cartera</w:t>
            </w:r>
          </w:p>
          <w:p w14:paraId="48B93FAA" w14:textId="77777777" w:rsidR="001B71B5" w:rsidRPr="006232B6" w:rsidRDefault="001B71B5" w:rsidP="00524FF4">
            <w:pPr>
              <w:rPr>
                <w:rFonts w:ascii="DIN 2014" w:hAnsi="DIN 2014"/>
                <w:sz w:val="18"/>
                <w:szCs w:val="18"/>
                <w:lang w:val="pt-PT"/>
              </w:rPr>
            </w:pPr>
          </w:p>
          <w:p w14:paraId="052C6AB5" w14:textId="3B01E2B9" w:rsidR="001B71B5" w:rsidRPr="006E1753" w:rsidRDefault="001B71B5" w:rsidP="00524FF4">
            <w:pPr>
              <w:rPr>
                <w:rFonts w:ascii="DIN 2014" w:hAnsi="DIN 2014"/>
                <w:sz w:val="18"/>
                <w:szCs w:val="18"/>
              </w:rPr>
            </w:pPr>
            <w:r>
              <w:rPr>
                <w:rFonts w:ascii="DIN 2014" w:hAnsi="DIN 2014"/>
                <w:sz w:val="18"/>
                <w:szCs w:val="18"/>
              </w:rPr>
              <w:t>Vo.Bo. Gabriel Ernesto Fuentes Aguilar</w:t>
            </w:r>
            <w:r>
              <w:rPr>
                <w:rFonts w:ascii="DIN 2014" w:hAnsi="DIN 2014"/>
                <w:sz w:val="18"/>
                <w:szCs w:val="18"/>
              </w:rPr>
              <w:br/>
              <w:t xml:space="preserve">Gerente Administración de Garantías </w:t>
            </w:r>
          </w:p>
          <w:p w14:paraId="5C70477A" w14:textId="77777777" w:rsidR="00145DAE" w:rsidRPr="006E1753" w:rsidRDefault="00145DAE" w:rsidP="00524FF4">
            <w:pPr>
              <w:rPr>
                <w:rFonts w:ascii="DIN 2014" w:hAnsi="DIN 2014"/>
                <w:sz w:val="18"/>
                <w:szCs w:val="18"/>
              </w:rPr>
            </w:pPr>
          </w:p>
        </w:tc>
      </w:tr>
      <w:tr w:rsidR="00145DAE" w:rsidRPr="00145DAE" w14:paraId="5790CDEF" w14:textId="77777777" w:rsidTr="00364263">
        <w:tc>
          <w:tcPr>
            <w:tcW w:w="4299" w:type="dxa"/>
            <w:shd w:val="clear" w:color="auto" w:fill="auto"/>
          </w:tcPr>
          <w:p w14:paraId="075CDFEC" w14:textId="77777777" w:rsidR="00145DAE" w:rsidRPr="00145DAE" w:rsidRDefault="00145DAE" w:rsidP="00524FF4">
            <w:pPr>
              <w:ind w:right="50"/>
              <w:jc w:val="center"/>
              <w:rPr>
                <w:rFonts w:ascii="DIN 2014" w:hAnsi="DIN 2014"/>
                <w:szCs w:val="20"/>
              </w:rPr>
            </w:pPr>
          </w:p>
        </w:tc>
        <w:tc>
          <w:tcPr>
            <w:tcW w:w="4299" w:type="dxa"/>
            <w:shd w:val="clear" w:color="auto" w:fill="auto"/>
          </w:tcPr>
          <w:p w14:paraId="110713D7" w14:textId="77777777" w:rsidR="00145DAE" w:rsidRPr="00145DAE" w:rsidRDefault="00145DAE" w:rsidP="00524FF4">
            <w:pPr>
              <w:ind w:right="50"/>
              <w:jc w:val="center"/>
              <w:rPr>
                <w:rFonts w:ascii="DIN 2014" w:hAnsi="DIN 2014"/>
                <w:szCs w:val="20"/>
              </w:rPr>
            </w:pPr>
          </w:p>
        </w:tc>
      </w:tr>
    </w:tbl>
    <w:p w14:paraId="79565D21" w14:textId="1FE427BF" w:rsidR="00E8561C" w:rsidRPr="00E8561C" w:rsidRDefault="00145DAE" w:rsidP="001B71B5">
      <w:pPr>
        <w:ind w:right="50"/>
      </w:pPr>
      <w:r w:rsidRPr="006E1753">
        <w:rPr>
          <w:rFonts w:ascii="DIN 2014" w:hAnsi="DIN 2014"/>
          <w:sz w:val="20"/>
          <w:szCs w:val="20"/>
        </w:rPr>
        <w:t xml:space="preserve">Proyectó: </w:t>
      </w:r>
      <w:r w:rsidR="006E1753" w:rsidRPr="006E1753">
        <w:rPr>
          <w:rFonts w:ascii="DIN 2014" w:hAnsi="DIN 2014"/>
          <w:sz w:val="20"/>
          <w:szCs w:val="20"/>
        </w:rPr>
        <w:t>Nubia Santana Maldonado – profesional 03 – GDN</w:t>
      </w:r>
      <w:r w:rsidR="006E1753" w:rsidRPr="006E1753">
        <w:rPr>
          <w:rFonts w:ascii="DIN 2014" w:hAnsi="DIN 2014"/>
          <w:sz w:val="20"/>
          <w:szCs w:val="20"/>
        </w:rPr>
        <w:br/>
        <w:t xml:space="preserve">                  Jesús David Medina Ruiz- Pro</w:t>
      </w:r>
      <w:r w:rsidR="006E1753">
        <w:rPr>
          <w:rFonts w:ascii="DIN 2014" w:hAnsi="DIN 2014"/>
          <w:sz w:val="20"/>
          <w:szCs w:val="20"/>
        </w:rPr>
        <w:t>fesional 03- GDN</w:t>
      </w:r>
      <w:bookmarkEnd w:id="0"/>
    </w:p>
    <w:sectPr w:rsidR="00E8561C" w:rsidRPr="00E8561C" w:rsidSect="00524FF4">
      <w:headerReference w:type="default" r:id="rId7"/>
      <w:footerReference w:type="default" r:id="rId8"/>
      <w:headerReference w:type="first" r:id="rId9"/>
      <w:footerReference w:type="first" r:id="rId10"/>
      <w:pgSz w:w="12240" w:h="18720" w:code="14"/>
      <w:pgMar w:top="1417" w:right="1701" w:bottom="1417" w:left="1701" w:header="284"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8F74" w14:textId="77777777" w:rsidR="00194496" w:rsidRDefault="00194496">
      <w:r>
        <w:separator/>
      </w:r>
    </w:p>
  </w:endnote>
  <w:endnote w:type="continuationSeparator" w:id="0">
    <w:p w14:paraId="621BABC4" w14:textId="77777777" w:rsidR="00194496" w:rsidRDefault="0019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2014">
    <w:altName w:val="Calibri"/>
    <w:charset w:val="4D"/>
    <w:family w:val="swiss"/>
    <w:pitch w:val="variable"/>
    <w:sig w:usb0="A00002FF" w:usb1="5000204B" w:usb2="0000002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4853" w14:textId="7D211720" w:rsidR="00533C00" w:rsidRDefault="00CA66EF" w:rsidP="00FB29DA">
    <w:pPr>
      <w:ind w:left="-142" w:firstLine="142"/>
      <w:jc w:val="center"/>
      <w:rPr>
        <w:rFonts w:ascii="Arial" w:hAnsi="Arial" w:cs="Arial"/>
        <w:color w:val="FF0000"/>
        <w:sz w:val="20"/>
        <w:szCs w:val="20"/>
      </w:rPr>
    </w:pPr>
    <w:r>
      <w:rPr>
        <w:rFonts w:ascii="Arial" w:hAnsi="Arial" w:cs="Arial"/>
        <w:sz w:val="20"/>
        <w:szCs w:val="20"/>
      </w:rPr>
      <w:ptab w:relativeTo="margin" w:alignment="center" w:leader="none"/>
    </w:r>
    <w:r w:rsidR="00FB29DA">
      <w:rPr>
        <w:rFonts w:ascii="Arial" w:hAnsi="Arial" w:cs="Arial"/>
        <w:noProof/>
        <w:sz w:val="20"/>
        <w:szCs w:val="20"/>
      </w:rPr>
      <w:drawing>
        <wp:inline distT="0" distB="0" distL="0" distR="0" wp14:anchorId="1267CD23" wp14:editId="77BAEE62">
          <wp:extent cx="6438607" cy="1149595"/>
          <wp:effectExtent l="0" t="0" r="0" b="6350"/>
          <wp:docPr id="695652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40294" name="Imagen 1361340294"/>
                  <pic:cNvPicPr/>
                </pic:nvPicPr>
                <pic:blipFill>
                  <a:blip r:embed="rId1">
                    <a:extLst>
                      <a:ext uri="{28A0092B-C50C-407E-A947-70E740481C1C}">
                        <a14:useLocalDpi xmlns:a14="http://schemas.microsoft.com/office/drawing/2010/main" val="0"/>
                      </a:ext>
                    </a:extLst>
                  </a:blip>
                  <a:stretch>
                    <a:fillRect/>
                  </a:stretch>
                </pic:blipFill>
                <pic:spPr>
                  <a:xfrm>
                    <a:off x="0" y="0"/>
                    <a:ext cx="6613741" cy="1180865"/>
                  </a:xfrm>
                  <a:prstGeom prst="rect">
                    <a:avLst/>
                  </a:prstGeom>
                </pic:spPr>
              </pic:pic>
            </a:graphicData>
          </a:graphic>
        </wp:inline>
      </w:drawing>
    </w:r>
    <w:r w:rsidR="00901EA7">
      <w:rPr>
        <w:rFonts w:ascii="Arial" w:hAnsi="Arial" w:cs="Arial"/>
        <w:sz w:val="20"/>
        <w:szCs w:val="20"/>
      </w:rPr>
      <w:t xml:space="preserve">                                         </w:t>
    </w:r>
    <w:r w:rsidR="00533C00">
      <w:rPr>
        <w:rFonts w:ascii="Arial" w:hAnsi="Arial" w:cs="Arial"/>
        <w:sz w:val="20"/>
        <w:szCs w:val="20"/>
      </w:rPr>
      <w:t xml:space="preserve">Página </w:t>
    </w:r>
    <w:r w:rsidR="00533C00">
      <w:rPr>
        <w:rFonts w:ascii="Arial" w:hAnsi="Arial" w:cs="Arial"/>
        <w:sz w:val="20"/>
        <w:szCs w:val="20"/>
      </w:rPr>
      <w:fldChar w:fldCharType="begin"/>
    </w:r>
    <w:r w:rsidR="00533C00">
      <w:rPr>
        <w:rFonts w:ascii="Arial" w:hAnsi="Arial" w:cs="Arial"/>
        <w:sz w:val="20"/>
        <w:szCs w:val="20"/>
      </w:rPr>
      <w:instrText xml:space="preserve"> </w:instrText>
    </w:r>
    <w:r w:rsidR="006A55F1">
      <w:rPr>
        <w:rFonts w:ascii="Arial" w:hAnsi="Arial" w:cs="Arial"/>
        <w:sz w:val="20"/>
        <w:szCs w:val="20"/>
      </w:rPr>
      <w:instrText>PAGE</w:instrText>
    </w:r>
    <w:r w:rsidR="00533C00">
      <w:rPr>
        <w:rFonts w:ascii="Arial" w:hAnsi="Arial" w:cs="Arial"/>
        <w:sz w:val="20"/>
        <w:szCs w:val="20"/>
      </w:rPr>
      <w:instrText xml:space="preserve"> </w:instrText>
    </w:r>
    <w:r w:rsidR="00533C00">
      <w:rPr>
        <w:rFonts w:ascii="Arial" w:hAnsi="Arial" w:cs="Arial"/>
        <w:sz w:val="20"/>
        <w:szCs w:val="20"/>
      </w:rPr>
      <w:fldChar w:fldCharType="separate"/>
    </w:r>
    <w:r w:rsidR="00C7444B">
      <w:rPr>
        <w:rFonts w:ascii="Arial" w:hAnsi="Arial" w:cs="Arial"/>
        <w:noProof/>
        <w:sz w:val="20"/>
        <w:szCs w:val="20"/>
      </w:rPr>
      <w:t>1</w:t>
    </w:r>
    <w:r w:rsidR="00533C00">
      <w:rPr>
        <w:rFonts w:ascii="Arial" w:hAnsi="Arial" w:cs="Arial"/>
        <w:sz w:val="20"/>
        <w:szCs w:val="20"/>
      </w:rPr>
      <w:fldChar w:fldCharType="end"/>
    </w:r>
    <w:r w:rsidR="00533C00">
      <w:rPr>
        <w:rFonts w:ascii="Arial" w:hAnsi="Arial" w:cs="Arial"/>
        <w:sz w:val="20"/>
        <w:szCs w:val="20"/>
      </w:rPr>
      <w:t xml:space="preserve"> de </w:t>
    </w:r>
    <w:r w:rsidR="00533C00">
      <w:rPr>
        <w:rFonts w:ascii="Arial" w:hAnsi="Arial" w:cs="Arial"/>
        <w:sz w:val="20"/>
        <w:szCs w:val="20"/>
      </w:rPr>
      <w:fldChar w:fldCharType="begin"/>
    </w:r>
    <w:r w:rsidR="00533C00">
      <w:rPr>
        <w:rFonts w:ascii="Arial" w:hAnsi="Arial" w:cs="Arial"/>
        <w:sz w:val="20"/>
        <w:szCs w:val="20"/>
      </w:rPr>
      <w:instrText xml:space="preserve"> </w:instrText>
    </w:r>
    <w:r w:rsidR="006A55F1">
      <w:rPr>
        <w:rFonts w:ascii="Arial" w:hAnsi="Arial" w:cs="Arial"/>
        <w:sz w:val="20"/>
        <w:szCs w:val="20"/>
      </w:rPr>
      <w:instrText>NUMPAGES</w:instrText>
    </w:r>
    <w:r w:rsidR="00533C00">
      <w:rPr>
        <w:rFonts w:ascii="Arial" w:hAnsi="Arial" w:cs="Arial"/>
        <w:sz w:val="20"/>
        <w:szCs w:val="20"/>
      </w:rPr>
      <w:instrText xml:space="preserve"> </w:instrText>
    </w:r>
    <w:r w:rsidR="00533C00">
      <w:rPr>
        <w:rFonts w:ascii="Arial" w:hAnsi="Arial" w:cs="Arial"/>
        <w:sz w:val="20"/>
        <w:szCs w:val="20"/>
      </w:rPr>
      <w:fldChar w:fldCharType="separate"/>
    </w:r>
    <w:r w:rsidR="00C7444B">
      <w:rPr>
        <w:rFonts w:ascii="Arial" w:hAnsi="Arial" w:cs="Arial"/>
        <w:noProof/>
        <w:sz w:val="20"/>
        <w:szCs w:val="20"/>
      </w:rPr>
      <w:t>2</w:t>
    </w:r>
    <w:r w:rsidR="00533C00">
      <w:rPr>
        <w:rFonts w:ascii="Arial" w:hAnsi="Arial" w:cs="Arial"/>
        <w:sz w:val="20"/>
        <w:szCs w:val="20"/>
      </w:rPr>
      <w:fldChar w:fldCharType="end"/>
    </w:r>
    <w:r w:rsidR="00524FF4">
      <w:rPr>
        <w:rFonts w:ascii="Arial" w:hAnsi="Arial" w:cs="Arial"/>
        <w:color w:val="FF0000"/>
        <w:sz w:val="20"/>
        <w:szCs w:val="20"/>
      </w:rPr>
      <w:ptab w:relativeTo="margin" w:alignment="center" w:leader="none"/>
    </w:r>
    <w:r w:rsidR="00901EA7">
      <w:rPr>
        <w:rFonts w:ascii="Arial" w:hAnsi="Arial" w:cs="Arial"/>
        <w:color w:val="FF0000"/>
        <w:sz w:val="20"/>
        <w:szCs w:val="20"/>
      </w:rPr>
      <w:tab/>
    </w:r>
    <w:r w:rsidR="00901EA7">
      <w:rPr>
        <w:rFonts w:ascii="Arial" w:hAnsi="Arial" w:cs="Arial"/>
        <w:color w:val="FF0000"/>
        <w:sz w:val="20"/>
        <w:szCs w:val="20"/>
      </w:rPr>
      <w:tab/>
    </w:r>
    <w:r w:rsidR="00901EA7">
      <w:rPr>
        <w:rFonts w:ascii="Arial" w:hAnsi="Arial" w:cs="Arial"/>
        <w:color w:val="FF0000"/>
        <w:sz w:val="20"/>
        <w:szCs w:val="20"/>
      </w:rPr>
      <w:tab/>
    </w:r>
    <w:r w:rsidR="00FB29DA">
      <w:rPr>
        <w:rFonts w:ascii="Arial" w:hAnsi="Arial" w:cs="Arial"/>
        <w:color w:val="FF0000"/>
        <w:sz w:val="20"/>
        <w:szCs w:val="20"/>
      </w:rPr>
      <w:t xml:space="preserve">               </w:t>
    </w:r>
    <w:r w:rsidR="00E8561C" w:rsidRPr="00E8561C">
      <w:rPr>
        <w:rFonts w:ascii="Arial" w:hAnsi="Arial" w:cs="Arial"/>
        <w:color w:val="002060"/>
        <w:sz w:val="16"/>
        <w:szCs w:val="16"/>
      </w:rPr>
      <w:t>GSO-GD-FO-019</w:t>
    </w:r>
    <w:r w:rsidR="00E8561C">
      <w:rPr>
        <w:rFonts w:ascii="Arial" w:hAnsi="Arial" w:cs="Arial"/>
        <w:color w:val="002060"/>
        <w:sz w:val="16"/>
        <w:szCs w:val="16"/>
      </w:rPr>
      <w:t xml:space="preserve"> V/</w:t>
    </w:r>
    <w:r w:rsidR="006A34E6">
      <w:rPr>
        <w:rFonts w:ascii="Arial" w:hAnsi="Arial" w:cs="Arial"/>
        <w:color w:val="002060"/>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D952" w14:textId="77777777" w:rsidR="00533C00" w:rsidRDefault="00533C00">
    <w:pPr>
      <w:pStyle w:val="Piedepgina"/>
      <w:jc w:val="center"/>
      <w:rPr>
        <w:rFonts w:ascii="Arial" w:hAnsi="Arial" w:cs="Arial"/>
        <w:sz w:val="20"/>
        <w:szCs w:val="20"/>
      </w:rPr>
    </w:pPr>
    <w:r>
      <w:rPr>
        <w:rFonts w:ascii="Arial" w:hAnsi="Arial" w:cs="Arial"/>
        <w:sz w:val="20"/>
        <w:szCs w:val="20"/>
      </w:rPr>
      <w:t xml:space="preserve">                                                              Página </w:t>
    </w:r>
    <w:r>
      <w:rPr>
        <w:rFonts w:ascii="Arial" w:hAnsi="Arial" w:cs="Arial"/>
        <w:sz w:val="20"/>
        <w:szCs w:val="20"/>
      </w:rPr>
      <w:fldChar w:fldCharType="begin"/>
    </w:r>
    <w:r>
      <w:rPr>
        <w:rFonts w:ascii="Arial" w:hAnsi="Arial" w:cs="Arial"/>
        <w:sz w:val="20"/>
        <w:szCs w:val="20"/>
      </w:rPr>
      <w:instrText xml:space="preserve"> </w:instrText>
    </w:r>
    <w:r w:rsidR="006A55F1">
      <w:rPr>
        <w:rFonts w:ascii="Arial" w:hAnsi="Arial" w:cs="Arial"/>
        <w:sz w:val="20"/>
        <w:szCs w:val="20"/>
      </w:rPr>
      <w:instrText>PAGE</w:instrText>
    </w:r>
    <w:r>
      <w:rPr>
        <w:rFonts w:ascii="Arial" w:hAnsi="Arial" w:cs="Arial"/>
        <w:sz w:val="20"/>
        <w:szCs w:val="20"/>
      </w:rPr>
      <w:instrText xml:space="preserve"> </w:instrText>
    </w:r>
    <w:r>
      <w:rPr>
        <w:rFonts w:ascii="Arial" w:hAnsi="Arial" w:cs="Arial"/>
        <w:sz w:val="20"/>
        <w:szCs w:val="20"/>
      </w:rPr>
      <w:fldChar w:fldCharType="separate"/>
    </w:r>
    <w:r w:rsidR="00901EA7">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de </w:t>
    </w:r>
    <w:r>
      <w:rPr>
        <w:rFonts w:ascii="Arial" w:hAnsi="Arial" w:cs="Arial"/>
        <w:sz w:val="20"/>
        <w:szCs w:val="20"/>
      </w:rPr>
      <w:fldChar w:fldCharType="begin"/>
    </w:r>
    <w:r>
      <w:rPr>
        <w:rFonts w:ascii="Arial" w:hAnsi="Arial" w:cs="Arial"/>
        <w:sz w:val="20"/>
        <w:szCs w:val="20"/>
      </w:rPr>
      <w:instrText xml:space="preserve"> </w:instrText>
    </w:r>
    <w:r w:rsidR="006A55F1">
      <w:rPr>
        <w:rFonts w:ascii="Arial" w:hAnsi="Arial" w:cs="Arial"/>
        <w:sz w:val="20"/>
        <w:szCs w:val="20"/>
      </w:rPr>
      <w:instrText>NUMPAGES</w:instrText>
    </w:r>
    <w:r>
      <w:rPr>
        <w:rFonts w:ascii="Arial" w:hAnsi="Arial" w:cs="Arial"/>
        <w:sz w:val="20"/>
        <w:szCs w:val="20"/>
      </w:rPr>
      <w:instrText xml:space="preserve"> </w:instrText>
    </w:r>
    <w:r>
      <w:rPr>
        <w:rFonts w:ascii="Arial" w:hAnsi="Arial" w:cs="Arial"/>
        <w:sz w:val="20"/>
        <w:szCs w:val="20"/>
      </w:rPr>
      <w:fldChar w:fldCharType="separate"/>
    </w:r>
    <w:r w:rsidR="00834380">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w:t>
    </w:r>
    <w:r w:rsidR="00901EA7" w:rsidRPr="00901EA7">
      <w:rPr>
        <w:rFonts w:ascii="Arial" w:hAnsi="Arial" w:cs="Arial"/>
        <w:sz w:val="10"/>
        <w:szCs w:val="10"/>
      </w:rPr>
      <w:t>GA-FO-080</w:t>
    </w:r>
    <w:r w:rsidR="00901EA7">
      <w:rPr>
        <w:rFonts w:ascii="Arial" w:hAnsi="Arial" w:cs="Arial"/>
        <w:sz w:val="10"/>
        <w:szCs w:val="10"/>
      </w:rPr>
      <w:t xml:space="preserve"> V0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6115" w14:textId="77777777" w:rsidR="00194496" w:rsidRDefault="00194496">
      <w:r>
        <w:separator/>
      </w:r>
    </w:p>
  </w:footnote>
  <w:footnote w:type="continuationSeparator" w:id="0">
    <w:p w14:paraId="5BF08CAF" w14:textId="77777777" w:rsidR="00194496" w:rsidRDefault="0019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EEA4" w14:textId="17E9C463" w:rsidR="001F571D" w:rsidRPr="006232B6" w:rsidRDefault="00964307" w:rsidP="0096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b/>
        <w:color w:val="000000"/>
        <w:szCs w:val="20"/>
        <w:lang w:val="es-CO"/>
      </w:rPr>
    </w:pPr>
    <w:r w:rsidRPr="00650313">
      <w:rPr>
        <w:noProof/>
      </w:rPr>
      <w:drawing>
        <wp:anchor distT="0" distB="0" distL="114300" distR="114300" simplePos="0" relativeHeight="251658240" behindDoc="1" locked="0" layoutInCell="1" allowOverlap="1" wp14:anchorId="066477FA" wp14:editId="6B391D72">
          <wp:simplePos x="0" y="0"/>
          <wp:positionH relativeFrom="column">
            <wp:posOffset>-39223</wp:posOffset>
          </wp:positionH>
          <wp:positionV relativeFrom="paragraph">
            <wp:posOffset>84455</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anchor>
      </w:drawing>
    </w:r>
    <w:r w:rsidRPr="006232B6">
      <w:rPr>
        <w:rFonts w:ascii="Arial" w:hAnsi="Arial"/>
        <w:b/>
        <w:color w:val="000000"/>
        <w:szCs w:val="20"/>
        <w:lang w:val="es-CO"/>
      </w:rPr>
      <w:tab/>
    </w:r>
    <w:r w:rsidRPr="006232B6">
      <w:rPr>
        <w:rFonts w:ascii="Arial" w:hAnsi="Arial"/>
        <w:b/>
        <w:color w:val="000000"/>
        <w:szCs w:val="20"/>
        <w:lang w:val="es-CO"/>
      </w:rPr>
      <w:tab/>
    </w:r>
    <w:r w:rsidRPr="006232B6">
      <w:rPr>
        <w:rFonts w:ascii="Arial" w:hAnsi="Arial"/>
        <w:b/>
        <w:color w:val="000000"/>
        <w:szCs w:val="20"/>
        <w:lang w:val="es-CO"/>
      </w:rPr>
      <w:tab/>
      <w:t xml:space="preserve">          </w:t>
    </w:r>
    <w:r>
      <w:rPr>
        <w:noProof/>
      </w:rPr>
      <w:t xml:space="preserve">    </w:t>
    </w:r>
  </w:p>
  <w:p w14:paraId="13B79411" w14:textId="77777777" w:rsidR="00964307" w:rsidRPr="006232B6" w:rsidRDefault="00964307" w:rsidP="00F5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20F2A08B" w14:textId="77777777" w:rsidR="00964307" w:rsidRPr="006232B6" w:rsidRDefault="00964307" w:rsidP="00F5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509F1AE5" w14:textId="77777777" w:rsidR="00964307" w:rsidRPr="006232B6" w:rsidRDefault="00964307" w:rsidP="00F5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23C7380E" w14:textId="77777777" w:rsidR="00964307" w:rsidRPr="006232B6" w:rsidRDefault="00964307" w:rsidP="00524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es-CO"/>
      </w:rPr>
    </w:pPr>
  </w:p>
  <w:p w14:paraId="3B57C512" w14:textId="34BDA8EF" w:rsidR="00F51C72" w:rsidRPr="006232B6" w:rsidRDefault="00C7444B" w:rsidP="00524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IN 2014" w:hAnsi="DIN 2014"/>
        <w:b/>
        <w:color w:val="000000"/>
        <w:szCs w:val="20"/>
        <w:lang w:val="es-CO"/>
      </w:rPr>
    </w:pPr>
    <w:r w:rsidRPr="006232B6">
      <w:rPr>
        <w:rFonts w:ascii="DIN 2014" w:hAnsi="DIN 2014"/>
        <w:b/>
        <w:color w:val="000000"/>
        <w:szCs w:val="20"/>
        <w:lang w:val="es-CO"/>
      </w:rPr>
      <w:t>ACUERDO. No</w:t>
    </w:r>
    <w:r w:rsidR="00863107" w:rsidRPr="006232B6">
      <w:rPr>
        <w:rFonts w:ascii="DIN 2014" w:hAnsi="DIN 2014"/>
        <w:b/>
        <w:color w:val="000000"/>
        <w:szCs w:val="20"/>
        <w:lang w:val="es-CO"/>
      </w:rPr>
      <w:t>.</w:t>
    </w:r>
    <w:r w:rsidR="00863107" w:rsidRPr="006232B6">
      <w:rPr>
        <w:rFonts w:ascii="DIN 2014" w:hAnsi="DIN 2014"/>
        <w:b/>
        <w:color w:val="000000"/>
        <w:szCs w:val="20"/>
        <w:lang w:val="es-CO"/>
      </w:rPr>
      <w:tab/>
    </w:r>
    <w:r w:rsidR="00863107" w:rsidRPr="006232B6">
      <w:rPr>
        <w:rFonts w:ascii="DIN 2014" w:hAnsi="DIN 2014"/>
        <w:b/>
        <w:color w:val="000000"/>
        <w:szCs w:val="20"/>
        <w:lang w:val="es-CO"/>
      </w:rPr>
      <w:tab/>
    </w:r>
    <w:r w:rsidR="00863107" w:rsidRPr="006232B6">
      <w:rPr>
        <w:rFonts w:ascii="DIN 2014" w:hAnsi="DIN 2014"/>
        <w:b/>
        <w:color w:val="000000"/>
        <w:szCs w:val="20"/>
        <w:lang w:val="es-CO"/>
      </w:rPr>
      <w:tab/>
    </w:r>
    <w:r w:rsidR="00F51C72" w:rsidRPr="006232B6">
      <w:rPr>
        <w:rFonts w:ascii="DIN 2014" w:hAnsi="DIN 2014"/>
        <w:b/>
        <w:color w:val="000000"/>
        <w:szCs w:val="20"/>
        <w:lang w:val="es-CO"/>
      </w:rPr>
      <w:t>DE</w:t>
    </w:r>
  </w:p>
  <w:p w14:paraId="313025EC" w14:textId="77777777" w:rsidR="00F51C72" w:rsidRPr="006232B6" w:rsidRDefault="00F51C72" w:rsidP="00524FF4">
    <w:pPr>
      <w:jc w:val="center"/>
      <w:rPr>
        <w:rFonts w:ascii="DIN 2014" w:hAnsi="DIN 2014"/>
        <w:b/>
        <w:szCs w:val="20"/>
        <w:lang w:val="es-CO"/>
      </w:rPr>
    </w:pPr>
  </w:p>
  <w:p w14:paraId="1F2B952B" w14:textId="77777777" w:rsidR="00F51C72" w:rsidRPr="006232B6" w:rsidRDefault="00F51C72" w:rsidP="00524FF4">
    <w:pPr>
      <w:jc w:val="center"/>
      <w:rPr>
        <w:rFonts w:ascii="DIN 2014" w:hAnsi="DIN 2014"/>
        <w:b/>
        <w:szCs w:val="20"/>
        <w:lang w:val="es-CO"/>
      </w:rPr>
    </w:pPr>
  </w:p>
  <w:p w14:paraId="1E004D9D" w14:textId="6B06AD7E" w:rsidR="00F51C72" w:rsidRPr="00FB29DA" w:rsidRDefault="00F51C72" w:rsidP="00524FF4">
    <w:pPr>
      <w:keepNext/>
      <w:jc w:val="center"/>
      <w:outlineLvl w:val="5"/>
      <w:rPr>
        <w:rFonts w:ascii="DIN 2014" w:hAnsi="DIN 2014"/>
        <w:b/>
        <w:color w:val="FF0000"/>
        <w:sz w:val="20"/>
        <w:szCs w:val="20"/>
        <w:lang w:val="es-MX"/>
      </w:rPr>
    </w:pPr>
    <w:r w:rsidRPr="00FB29DA">
      <w:rPr>
        <w:rFonts w:ascii="DIN 2014" w:hAnsi="DIN 2014"/>
        <w:b/>
        <w:sz w:val="20"/>
        <w:szCs w:val="20"/>
        <w:lang w:val="es-MX"/>
      </w:rPr>
      <w:t xml:space="preserve">“Por el </w:t>
    </w:r>
    <w:r w:rsidR="00145DAE" w:rsidRPr="00145DAE">
      <w:rPr>
        <w:rFonts w:ascii="DIN 2014" w:hAnsi="DIN 2014"/>
        <w:b/>
        <w:sz w:val="20"/>
        <w:szCs w:val="20"/>
        <w:lang w:val="es-MX"/>
      </w:rPr>
      <w:t>Por medio del cual se adopta una nueva versión del Reglamento de Crédito y Leasing Habitacional en el Fondo Nacional del Ahorro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6B88" w14:textId="77777777" w:rsidR="00533C00" w:rsidRDefault="0041748F" w:rsidP="001F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Pr>
        <w:noProof/>
        <w:lang w:val="es-CO" w:eastAsia="es-CO"/>
      </w:rPr>
      <w:drawing>
        <wp:inline distT="0" distB="0" distL="0" distR="0" wp14:anchorId="4BA96267" wp14:editId="3C30D83E">
          <wp:extent cx="1458595" cy="1284605"/>
          <wp:effectExtent l="0" t="0" r="8255" b="0"/>
          <wp:docPr id="1235810672" name="Imagen 123581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1284605"/>
                  </a:xfrm>
                  <a:prstGeom prst="rect">
                    <a:avLst/>
                  </a:prstGeom>
                  <a:noFill/>
                  <a:ln>
                    <a:noFill/>
                  </a:ln>
                </pic:spPr>
              </pic:pic>
            </a:graphicData>
          </a:graphic>
        </wp:inline>
      </w:drawing>
    </w:r>
  </w:p>
  <w:p w14:paraId="20E012FB" w14:textId="77777777" w:rsidR="001F571D" w:rsidRDefault="001F571D" w:rsidP="0012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F44E11A" w14:textId="77777777" w:rsidR="001F571D" w:rsidRDefault="001F571D" w:rsidP="0012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07C8BF2" w14:textId="77777777" w:rsidR="001F571D" w:rsidRPr="0065525D" w:rsidRDefault="001F571D" w:rsidP="0012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highlight w:val="lightGray"/>
      </w:rPr>
    </w:pPr>
  </w:p>
  <w:p w14:paraId="65119329" w14:textId="77777777" w:rsidR="00533C00" w:rsidRDefault="0053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pt-BR"/>
      </w:rPr>
    </w:pPr>
  </w:p>
  <w:p w14:paraId="6E477A56" w14:textId="77777777" w:rsidR="00533C00" w:rsidRDefault="0053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color w:val="000000"/>
        <w:szCs w:val="20"/>
        <w:lang w:val="pt-PT"/>
      </w:rPr>
    </w:pPr>
    <w:r>
      <w:rPr>
        <w:rFonts w:ascii="Arial" w:hAnsi="Arial"/>
        <w:b/>
        <w:color w:val="000000"/>
        <w:szCs w:val="20"/>
        <w:lang w:val="pt-BR"/>
      </w:rPr>
      <w:t xml:space="preserve">A C U E R D </w:t>
    </w:r>
    <w:proofErr w:type="gramStart"/>
    <w:r>
      <w:rPr>
        <w:rFonts w:ascii="Arial" w:hAnsi="Arial"/>
        <w:b/>
        <w:color w:val="000000"/>
        <w:szCs w:val="20"/>
        <w:lang w:val="pt-BR"/>
      </w:rPr>
      <w:t>O  No</w:t>
    </w:r>
    <w:proofErr w:type="gramEnd"/>
    <w:r>
      <w:rPr>
        <w:rFonts w:ascii="Arial" w:hAnsi="Arial"/>
        <w:b/>
        <w:color w:val="000000"/>
        <w:szCs w:val="20"/>
        <w:lang w:val="pt-BR"/>
      </w:rPr>
      <w:t xml:space="preserve">.       </w:t>
    </w:r>
    <w:r>
      <w:rPr>
        <w:rFonts w:ascii="Arial" w:hAnsi="Arial"/>
        <w:b/>
        <w:color w:val="000000"/>
        <w:szCs w:val="20"/>
        <w:lang w:val="pt-PT"/>
      </w:rPr>
      <w:t xml:space="preserve">DE </w:t>
    </w:r>
  </w:p>
  <w:p w14:paraId="472D2B67" w14:textId="77777777" w:rsidR="00533C00" w:rsidRDefault="00533C00">
    <w:pPr>
      <w:jc w:val="center"/>
      <w:rPr>
        <w:rFonts w:ascii="Arial" w:hAnsi="Arial"/>
        <w:b/>
        <w:szCs w:val="20"/>
        <w:lang w:val="pt-PT"/>
      </w:rPr>
    </w:pPr>
  </w:p>
  <w:p w14:paraId="2AE6F97E" w14:textId="77777777" w:rsidR="00533C00" w:rsidRDefault="00533C00">
    <w:pPr>
      <w:rPr>
        <w:rFonts w:ascii="Arial" w:hAnsi="Arial"/>
        <w:b/>
        <w:szCs w:val="20"/>
        <w:lang w:val="pt-PT"/>
      </w:rPr>
    </w:pPr>
  </w:p>
  <w:p w14:paraId="79FE1FE6" w14:textId="77777777" w:rsidR="00533C00" w:rsidRDefault="00533C00">
    <w:pPr>
      <w:keepNext/>
      <w:jc w:val="center"/>
      <w:outlineLvl w:val="5"/>
      <w:rPr>
        <w:rFonts w:ascii="Arial" w:hAnsi="Arial"/>
        <w:b/>
        <w:color w:val="FF0000"/>
        <w:sz w:val="20"/>
        <w:szCs w:val="20"/>
        <w:lang w:val="es-MX"/>
      </w:rPr>
    </w:pPr>
    <w:r>
      <w:rPr>
        <w:rFonts w:ascii="Arial" w:hAnsi="Arial"/>
        <w:b/>
        <w:sz w:val="20"/>
        <w:szCs w:val="20"/>
        <w:lang w:val="es-MX"/>
      </w:rPr>
      <w:t>“Por el cual</w:t>
    </w:r>
    <w:proofErr w:type="gramStart"/>
    <w:r>
      <w:rPr>
        <w:rFonts w:ascii="Arial" w:hAnsi="Arial"/>
        <w:b/>
        <w:sz w:val="20"/>
        <w:szCs w:val="20"/>
        <w:lang w:val="es-MX"/>
      </w:rPr>
      <w:t>…….</w:t>
    </w:r>
    <w:proofErr w:type="gramEnd"/>
    <w:r>
      <w:rPr>
        <w:rFonts w:ascii="Arial" w:hAnsi="Arial"/>
        <w:b/>
        <w:sz w:val="20"/>
        <w:szCs w:val="20"/>
        <w:lang w:val="es-MX"/>
      </w:rPr>
      <w:t xml:space="preserve">. ……………….” </w:t>
    </w:r>
    <w:r>
      <w:rPr>
        <w:rFonts w:ascii="Arial" w:hAnsi="Arial"/>
        <w:b/>
        <w:color w:val="FF0000"/>
        <w:sz w:val="20"/>
        <w:szCs w:val="20"/>
        <w:lang w:val="es-MX"/>
      </w:rPr>
      <w:t>(Arial 10)</w:t>
    </w:r>
  </w:p>
  <w:p w14:paraId="251AC58C" w14:textId="77777777" w:rsidR="00533C00" w:rsidRDefault="00533C00">
    <w:pPr>
      <w:pStyle w:val="Encabezado"/>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DAE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25CEC"/>
    <w:multiLevelType w:val="hybridMultilevel"/>
    <w:tmpl w:val="2EF4B6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6348685">
    <w:abstractNumId w:val="0"/>
  </w:num>
  <w:num w:numId="2" w16cid:durableId="115633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F4"/>
    <w:rsid w:val="000005C4"/>
    <w:rsid w:val="00022F53"/>
    <w:rsid w:val="000B3917"/>
    <w:rsid w:val="000E0D98"/>
    <w:rsid w:val="001079DD"/>
    <w:rsid w:val="00123D97"/>
    <w:rsid w:val="00144494"/>
    <w:rsid w:val="0014589F"/>
    <w:rsid w:val="00145DAE"/>
    <w:rsid w:val="00194496"/>
    <w:rsid w:val="001B71B5"/>
    <w:rsid w:val="001F571D"/>
    <w:rsid w:val="00247FAC"/>
    <w:rsid w:val="00255220"/>
    <w:rsid w:val="002E0B01"/>
    <w:rsid w:val="00302AA9"/>
    <w:rsid w:val="003A4B95"/>
    <w:rsid w:val="003B36C4"/>
    <w:rsid w:val="003D09C1"/>
    <w:rsid w:val="0041748F"/>
    <w:rsid w:val="004A23CD"/>
    <w:rsid w:val="004C387F"/>
    <w:rsid w:val="004C5D9A"/>
    <w:rsid w:val="00523E5A"/>
    <w:rsid w:val="00524FF4"/>
    <w:rsid w:val="00533C00"/>
    <w:rsid w:val="0054610A"/>
    <w:rsid w:val="005759F8"/>
    <w:rsid w:val="0057715B"/>
    <w:rsid w:val="00583DF4"/>
    <w:rsid w:val="005A3DD3"/>
    <w:rsid w:val="006232B6"/>
    <w:rsid w:val="0065525D"/>
    <w:rsid w:val="006A34E6"/>
    <w:rsid w:val="006A55F1"/>
    <w:rsid w:val="006B261D"/>
    <w:rsid w:val="006E1509"/>
    <w:rsid w:val="006E1753"/>
    <w:rsid w:val="006E5C4F"/>
    <w:rsid w:val="00762578"/>
    <w:rsid w:val="00763AC6"/>
    <w:rsid w:val="007649E8"/>
    <w:rsid w:val="00780CB2"/>
    <w:rsid w:val="007A234B"/>
    <w:rsid w:val="008038E1"/>
    <w:rsid w:val="008054F0"/>
    <w:rsid w:val="00833ED5"/>
    <w:rsid w:val="00834380"/>
    <w:rsid w:val="00863107"/>
    <w:rsid w:val="00882BF3"/>
    <w:rsid w:val="008B06B0"/>
    <w:rsid w:val="008C1939"/>
    <w:rsid w:val="00901EA7"/>
    <w:rsid w:val="00922EC7"/>
    <w:rsid w:val="00964307"/>
    <w:rsid w:val="00971FFF"/>
    <w:rsid w:val="009839E8"/>
    <w:rsid w:val="00987ABE"/>
    <w:rsid w:val="00990C43"/>
    <w:rsid w:val="009A0E0B"/>
    <w:rsid w:val="009D4A52"/>
    <w:rsid w:val="00A200F1"/>
    <w:rsid w:val="00A26DC4"/>
    <w:rsid w:val="00AD54BC"/>
    <w:rsid w:val="00AE3FC8"/>
    <w:rsid w:val="00B5091F"/>
    <w:rsid w:val="00B575B8"/>
    <w:rsid w:val="00B85DC7"/>
    <w:rsid w:val="00BE4DB3"/>
    <w:rsid w:val="00C410BE"/>
    <w:rsid w:val="00C7444B"/>
    <w:rsid w:val="00CA66EF"/>
    <w:rsid w:val="00CD51D9"/>
    <w:rsid w:val="00CE56EB"/>
    <w:rsid w:val="00CE6D17"/>
    <w:rsid w:val="00D35BEE"/>
    <w:rsid w:val="00D3633B"/>
    <w:rsid w:val="00D97400"/>
    <w:rsid w:val="00DA5C9D"/>
    <w:rsid w:val="00DA7CA2"/>
    <w:rsid w:val="00DB4127"/>
    <w:rsid w:val="00DF278F"/>
    <w:rsid w:val="00E06456"/>
    <w:rsid w:val="00E8561C"/>
    <w:rsid w:val="00EF03B6"/>
    <w:rsid w:val="00F2578E"/>
    <w:rsid w:val="00F26EFC"/>
    <w:rsid w:val="00F51C72"/>
    <w:rsid w:val="00FB29DA"/>
    <w:rsid w:val="00FE10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DE7C5"/>
  <w14:defaultImageDpi w14:val="300"/>
  <w15:chartTrackingRefBased/>
  <w15:docId w15:val="{03B1E61A-E218-418F-AB02-2BECC203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customStyle="1" w:styleId="EncabezadoCar">
    <w:name w:val="Encabezado Car"/>
    <w:link w:val="Encabezado"/>
    <w:rPr>
      <w:sz w:val="24"/>
      <w:szCs w:val="24"/>
      <w:lang w:val="es-ES" w:eastAsia="es-ES" w:bidi="ar-SA"/>
    </w:rPr>
  </w:style>
  <w:style w:type="paragraph" w:styleId="NormalWeb">
    <w:name w:val="Normal (Web)"/>
    <w:basedOn w:val="Normal"/>
    <w:uiPriority w:val="99"/>
    <w:unhideWhenUsed/>
    <w:rsid w:val="00145DAE"/>
    <w:pPr>
      <w:spacing w:before="100" w:beforeAutospacing="1" w:after="100" w:afterAutospacing="1"/>
    </w:pPr>
    <w:rPr>
      <w:lang w:val="es-CO" w:eastAsia="es-CO"/>
    </w:rPr>
  </w:style>
  <w:style w:type="paragraph" w:styleId="Textoindependiente2">
    <w:name w:val="Body Text 2"/>
    <w:basedOn w:val="Normal"/>
    <w:link w:val="Textoindependiente2Car"/>
    <w:rsid w:val="00145DAE"/>
    <w:pPr>
      <w:spacing w:after="120" w:line="480" w:lineRule="auto"/>
    </w:pPr>
  </w:style>
  <w:style w:type="character" w:customStyle="1" w:styleId="Textoindependiente2Car">
    <w:name w:val="Texto independiente 2 Car"/>
    <w:basedOn w:val="Fuentedeprrafopredeter"/>
    <w:link w:val="Textoindependiente2"/>
    <w:rsid w:val="00145DAE"/>
    <w:rPr>
      <w:sz w:val="24"/>
      <w:szCs w:val="24"/>
      <w:lang w:val="es-ES" w:eastAsia="es-ES"/>
    </w:rPr>
  </w:style>
  <w:style w:type="character" w:customStyle="1" w:styleId="normaltextrun">
    <w:name w:val="normaltextrun"/>
    <w:basedOn w:val="Fuentedeprrafopredeter"/>
    <w:rsid w:val="00145DAE"/>
  </w:style>
  <w:style w:type="paragraph" w:customStyle="1" w:styleId="Sangra3det">
    <w:name w:val="Sangría 3 de t"/>
    <w:aliases w:val="independiente"/>
    <w:basedOn w:val="Normal"/>
    <w:link w:val="Sangra3det1"/>
    <w:uiPriority w:val="99"/>
    <w:rsid w:val="00145DAE"/>
    <w:pPr>
      <w:spacing w:after="120"/>
      <w:ind w:left="283"/>
    </w:pPr>
    <w:rPr>
      <w:sz w:val="16"/>
      <w:szCs w:val="16"/>
    </w:rPr>
  </w:style>
  <w:style w:type="character" w:customStyle="1" w:styleId="Sangra3det1">
    <w:name w:val="Sangría 3 de t1"/>
    <w:aliases w:val="independiente Car"/>
    <w:link w:val="Sangra3det"/>
    <w:uiPriority w:val="99"/>
    <w:locked/>
    <w:rsid w:val="00145DAE"/>
    <w:rPr>
      <w:sz w:val="16"/>
      <w:szCs w:val="16"/>
      <w:lang w:val="es-ES" w:eastAsia="es-ES"/>
    </w:rPr>
  </w:style>
  <w:style w:type="paragraph" w:styleId="Prrafodelista">
    <w:name w:val="List Paragraph"/>
    <w:basedOn w:val="Normal"/>
    <w:link w:val="PrrafodelistaCar"/>
    <w:uiPriority w:val="34"/>
    <w:qFormat/>
    <w:rsid w:val="00145DAE"/>
    <w:pPr>
      <w:ind w:left="708"/>
    </w:pPr>
  </w:style>
  <w:style w:type="character" w:customStyle="1" w:styleId="PrrafodelistaCar">
    <w:name w:val="Párrafo de lista Car"/>
    <w:link w:val="Prrafodelista"/>
    <w:uiPriority w:val="34"/>
    <w:locked/>
    <w:rsid w:val="00145DAE"/>
    <w:rPr>
      <w:sz w:val="24"/>
      <w:szCs w:val="24"/>
      <w:lang w:val="es-ES" w:eastAsia="es-ES"/>
    </w:rPr>
  </w:style>
  <w:style w:type="paragraph" w:styleId="Sinespaciado">
    <w:name w:val="No Spacing"/>
    <w:uiPriority w:val="1"/>
    <w:qFormat/>
    <w:rsid w:val="00145DA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855B4-2860-4E21-B19A-3774FE1970E8}"/>
</file>

<file path=customXml/itemProps2.xml><?xml version="1.0" encoding="utf-8"?>
<ds:datastoreItem xmlns:ds="http://schemas.openxmlformats.org/officeDocument/2006/customXml" ds:itemID="{659CFF9F-B943-407E-95FD-8E07361D467B}"/>
</file>

<file path=customXml/itemProps3.xml><?xml version="1.0" encoding="utf-8"?>
<ds:datastoreItem xmlns:ds="http://schemas.openxmlformats.org/officeDocument/2006/customXml" ds:itemID="{C34A7F67-764A-4E9F-8072-4E1C2E66780B}"/>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13849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LA JUNTA DIRECTIVA DEL FONDO NACIONAL DE AHORRO</vt:lpstr>
    </vt:vector>
  </TitlesOfParts>
  <Company>FNA</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JUNTA DIRECTIVA DEL FONDO NACIONAL DE AHORRO</dc:title>
  <dc:subject/>
  <dc:creator>Asuarezb</dc:creator>
  <cp:keywords/>
  <cp:lastModifiedBy>Zulma Patricia Gonzalez Muñoz</cp:lastModifiedBy>
  <cp:revision>2</cp:revision>
  <cp:lastPrinted>2010-12-20T15:38:00Z</cp:lastPrinted>
  <dcterms:created xsi:type="dcterms:W3CDTF">2024-12-11T17:49:00Z</dcterms:created>
  <dcterms:modified xsi:type="dcterms:W3CDTF">2024-12-11T17:49:00Z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