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page" w:horzAnchor="margin" w:tblpY="2341"/>
        <w:tblW w:w="8977" w:type="dxa"/>
        <w:tblLook w:val="04A0" w:firstRow="1" w:lastRow="0" w:firstColumn="1" w:lastColumn="0" w:noHBand="0" w:noVBand="1"/>
      </w:tblPr>
      <w:tblGrid>
        <w:gridCol w:w="8977"/>
      </w:tblGrid>
      <w:tr w:rsidR="00FF1E8D" w14:paraId="2AAE6F79" w14:textId="77777777" w:rsidTr="009C2732">
        <w:trPr>
          <w:trHeight w:val="992"/>
        </w:trPr>
        <w:tc>
          <w:tcPr>
            <w:tcW w:w="8977" w:type="dxa"/>
          </w:tcPr>
          <w:p w14:paraId="7CB2C6A1" w14:textId="77777777" w:rsidR="00FF1E8D" w:rsidRDefault="00FF1E8D" w:rsidP="009C2732"/>
          <w:p w14:paraId="717B022D" w14:textId="77777777" w:rsidR="00FF1E8D" w:rsidRDefault="00FF1E8D" w:rsidP="009C2732"/>
          <w:p w14:paraId="170F6393" w14:textId="77777777" w:rsidR="00FF1E8D" w:rsidRDefault="00FF1E8D" w:rsidP="009C2732">
            <w:pPr>
              <w:pStyle w:val="Ttulo2"/>
              <w:ind w:left="72" w:right="72"/>
              <w:outlineLvl w:val="1"/>
              <w:rPr>
                <w:rFonts w:cs="Arial"/>
                <w:bCs/>
                <w:sz w:val="24"/>
                <w:szCs w:val="24"/>
              </w:rPr>
            </w:pPr>
            <w:r w:rsidRPr="008A563D">
              <w:rPr>
                <w:rFonts w:cs="Arial"/>
                <w:bCs/>
                <w:sz w:val="24"/>
                <w:szCs w:val="24"/>
              </w:rPr>
              <w:t xml:space="preserve">MEMORIA </w:t>
            </w:r>
            <w:proofErr w:type="gramStart"/>
            <w:r w:rsidRPr="008A563D">
              <w:rPr>
                <w:rFonts w:cs="Arial"/>
                <w:bCs/>
                <w:sz w:val="24"/>
                <w:szCs w:val="24"/>
              </w:rPr>
              <w:t>JUSTIFICATIVA  –</w:t>
            </w:r>
            <w:proofErr w:type="gramEnd"/>
            <w:r w:rsidRPr="008A563D">
              <w:rPr>
                <w:rFonts w:cs="Arial"/>
                <w:bCs/>
                <w:sz w:val="24"/>
                <w:szCs w:val="24"/>
              </w:rPr>
              <w:t xml:space="preserve">  EXPEDICIÓN NORMATIVA</w:t>
            </w:r>
          </w:p>
          <w:p w14:paraId="446BAF2E" w14:textId="77777777" w:rsidR="00F024DC" w:rsidRPr="00F024DC" w:rsidRDefault="00F024DC" w:rsidP="00F024DC"/>
          <w:p w14:paraId="722C5B10" w14:textId="77777777" w:rsidR="00FF1E8D" w:rsidRDefault="00FF1E8D" w:rsidP="009C2732"/>
        </w:tc>
      </w:tr>
      <w:tr w:rsidR="00FF1E8D" w14:paraId="26D6A4FA" w14:textId="77777777" w:rsidTr="009C2732">
        <w:trPr>
          <w:trHeight w:val="573"/>
        </w:trPr>
        <w:tc>
          <w:tcPr>
            <w:tcW w:w="8977" w:type="dxa"/>
          </w:tcPr>
          <w:p w14:paraId="00F735C6" w14:textId="77777777" w:rsidR="00FF1E8D" w:rsidRPr="00FF1E8D" w:rsidRDefault="00FF1E8D" w:rsidP="009C2732">
            <w:pPr>
              <w:rPr>
                <w:b/>
              </w:rPr>
            </w:pPr>
            <w:r w:rsidRPr="00FF1E8D">
              <w:rPr>
                <w:rFonts w:cs="Arial"/>
                <w:b/>
                <w:sz w:val="24"/>
                <w:szCs w:val="24"/>
                <w:lang w:val="es-CO"/>
              </w:rPr>
              <w:t>Entidad que desarrollara el proyecto de Norma</w:t>
            </w:r>
            <w:r>
              <w:rPr>
                <w:rFonts w:cs="Arial"/>
                <w:b/>
                <w:sz w:val="24"/>
                <w:szCs w:val="24"/>
                <w:lang w:val="es-CO"/>
              </w:rPr>
              <w:t xml:space="preserve">: </w:t>
            </w:r>
            <w:r w:rsidRPr="00FF1E8D">
              <w:rPr>
                <w:rFonts w:cs="Arial"/>
                <w:sz w:val="24"/>
                <w:szCs w:val="24"/>
                <w:lang w:val="es-CO"/>
              </w:rPr>
              <w:t>Fondo Nacional del Ahorro</w:t>
            </w:r>
            <w:r w:rsidR="00C0667D">
              <w:rPr>
                <w:rFonts w:cs="Arial"/>
                <w:sz w:val="24"/>
                <w:szCs w:val="24"/>
                <w:lang w:val="es-CO"/>
              </w:rPr>
              <w:t xml:space="preserve"> Carlos Lleras Restrepo</w:t>
            </w:r>
          </w:p>
        </w:tc>
      </w:tr>
      <w:tr w:rsidR="00FF1E8D" w14:paraId="264FF627" w14:textId="77777777" w:rsidTr="009C2732">
        <w:trPr>
          <w:trHeight w:val="511"/>
        </w:trPr>
        <w:tc>
          <w:tcPr>
            <w:tcW w:w="8977" w:type="dxa"/>
          </w:tcPr>
          <w:p w14:paraId="1383DF92" w14:textId="77777777" w:rsidR="00FF1E8D" w:rsidRDefault="00FF1E8D" w:rsidP="009C2732"/>
          <w:p w14:paraId="45248D5D" w14:textId="77777777" w:rsidR="00FF1E8D" w:rsidRPr="00A56AE8" w:rsidRDefault="00A56AE8" w:rsidP="009C2732">
            <w:pPr>
              <w:rPr>
                <w:b/>
                <w:sz w:val="24"/>
                <w:szCs w:val="24"/>
              </w:rPr>
            </w:pPr>
            <w:r w:rsidRPr="00A56AE8">
              <w:rPr>
                <w:b/>
                <w:sz w:val="24"/>
                <w:szCs w:val="24"/>
              </w:rPr>
              <w:t>Fecha</w:t>
            </w:r>
            <w:r w:rsidRPr="008B3C6C">
              <w:rPr>
                <w:sz w:val="24"/>
                <w:szCs w:val="24"/>
              </w:rPr>
              <w:t xml:space="preserve">: </w:t>
            </w:r>
            <w:r w:rsidR="004B06FD" w:rsidRPr="008B3C6C">
              <w:rPr>
                <w:sz w:val="24"/>
                <w:szCs w:val="24"/>
              </w:rPr>
              <w:t xml:space="preserve"> </w:t>
            </w:r>
            <w:r w:rsidR="002B52D6">
              <w:rPr>
                <w:sz w:val="24"/>
                <w:szCs w:val="24"/>
              </w:rPr>
              <w:t>septiembre</w:t>
            </w:r>
            <w:r w:rsidR="00AC6A7E">
              <w:rPr>
                <w:sz w:val="24"/>
                <w:szCs w:val="24"/>
              </w:rPr>
              <w:t xml:space="preserve"> de 2019</w:t>
            </w:r>
          </w:p>
        </w:tc>
      </w:tr>
      <w:tr w:rsidR="00FF1E8D" w14:paraId="6CE9CAE4" w14:textId="77777777" w:rsidTr="009C2732">
        <w:trPr>
          <w:trHeight w:val="806"/>
        </w:trPr>
        <w:tc>
          <w:tcPr>
            <w:tcW w:w="8977" w:type="dxa"/>
          </w:tcPr>
          <w:p w14:paraId="64A2EB5D" w14:textId="77777777" w:rsidR="00A56AE8" w:rsidRDefault="00A56AE8" w:rsidP="009C2732">
            <w:pPr>
              <w:ind w:right="72"/>
              <w:jc w:val="both"/>
              <w:rPr>
                <w:rFonts w:cs="Arial"/>
                <w:b/>
                <w:bCs/>
                <w:sz w:val="24"/>
                <w:szCs w:val="24"/>
              </w:rPr>
            </w:pPr>
          </w:p>
          <w:p w14:paraId="592C4DA3" w14:textId="77777777" w:rsidR="004507A0" w:rsidRPr="004507A0" w:rsidRDefault="00A56AE8" w:rsidP="004507A0">
            <w:pPr>
              <w:pStyle w:val="Encabezado"/>
              <w:jc w:val="both"/>
              <w:rPr>
                <w:rFonts w:cs="Arial"/>
                <w:b/>
                <w:sz w:val="24"/>
                <w:szCs w:val="24"/>
              </w:rPr>
            </w:pPr>
            <w:r w:rsidRPr="004507A0">
              <w:rPr>
                <w:rFonts w:cs="Arial"/>
                <w:b/>
                <w:bCs/>
                <w:sz w:val="24"/>
                <w:szCs w:val="24"/>
              </w:rPr>
              <w:t xml:space="preserve">Proyecto de </w:t>
            </w:r>
            <w:r w:rsidR="009C2732" w:rsidRPr="004507A0">
              <w:rPr>
                <w:rFonts w:cs="Arial"/>
                <w:b/>
                <w:bCs/>
                <w:sz w:val="24"/>
                <w:szCs w:val="24"/>
              </w:rPr>
              <w:t>Acto Administrativo</w:t>
            </w:r>
            <w:r w:rsidRPr="004507A0">
              <w:rPr>
                <w:rFonts w:cs="Arial"/>
                <w:bCs/>
                <w:sz w:val="24"/>
                <w:szCs w:val="24"/>
              </w:rPr>
              <w:t>:</w:t>
            </w:r>
            <w:r w:rsidR="00A965D8" w:rsidRPr="004507A0">
              <w:rPr>
                <w:rFonts w:cs="Arial"/>
                <w:bCs/>
                <w:sz w:val="24"/>
                <w:szCs w:val="24"/>
              </w:rPr>
              <w:t xml:space="preserve"> </w:t>
            </w:r>
            <w:r w:rsidR="00AC6A7E" w:rsidRPr="004507A0">
              <w:rPr>
                <w:rFonts w:cs="Arial"/>
                <w:bCs/>
                <w:sz w:val="24"/>
                <w:szCs w:val="24"/>
              </w:rPr>
              <w:t xml:space="preserve"> Resol</w:t>
            </w:r>
            <w:r w:rsidR="004507A0">
              <w:rPr>
                <w:rFonts w:cs="Arial"/>
                <w:bCs/>
                <w:sz w:val="24"/>
                <w:szCs w:val="24"/>
              </w:rPr>
              <w:t xml:space="preserve">ución </w:t>
            </w:r>
            <w:r w:rsidR="004507A0" w:rsidRPr="004507A0">
              <w:rPr>
                <w:rFonts w:cs="Arial"/>
                <w:b/>
                <w:sz w:val="24"/>
                <w:szCs w:val="24"/>
              </w:rPr>
              <w:t>“</w:t>
            </w:r>
            <w:r w:rsidR="004507A0" w:rsidRPr="004507A0">
              <w:rPr>
                <w:rFonts w:cs="Arial"/>
                <w:sz w:val="24"/>
                <w:szCs w:val="24"/>
              </w:rPr>
              <w:t>Por medio de la cual se expide una nueva reglamentación en relación con los costos asociados a la legalización de los créditos en el Fondo Nacional del Ahorro</w:t>
            </w:r>
            <w:r w:rsidR="004507A0" w:rsidRPr="004507A0">
              <w:rPr>
                <w:rFonts w:cs="Arial"/>
                <w:b/>
                <w:sz w:val="24"/>
                <w:szCs w:val="24"/>
              </w:rPr>
              <w:t>.”</w:t>
            </w:r>
          </w:p>
          <w:p w14:paraId="13AB53EA" w14:textId="77777777" w:rsidR="004507A0" w:rsidRPr="004507A0" w:rsidRDefault="004507A0" w:rsidP="004507A0">
            <w:pPr>
              <w:pStyle w:val="Encabezado"/>
              <w:jc w:val="both"/>
              <w:rPr>
                <w:rFonts w:ascii="Wilke" w:hAnsi="Wilke"/>
                <w:b/>
                <w:sz w:val="24"/>
                <w:szCs w:val="24"/>
              </w:rPr>
            </w:pPr>
          </w:p>
          <w:p w14:paraId="2EBEE87D" w14:textId="77777777" w:rsidR="009C2732" w:rsidRDefault="009C2732" w:rsidP="009C2732">
            <w:pPr>
              <w:ind w:right="-92"/>
              <w:jc w:val="both"/>
            </w:pPr>
          </w:p>
        </w:tc>
      </w:tr>
      <w:tr w:rsidR="00FF1E8D" w14:paraId="5F52AC0B" w14:textId="77777777" w:rsidTr="009C2732">
        <w:trPr>
          <w:trHeight w:val="744"/>
        </w:trPr>
        <w:tc>
          <w:tcPr>
            <w:tcW w:w="8977" w:type="dxa"/>
          </w:tcPr>
          <w:p w14:paraId="6019719B" w14:textId="77777777" w:rsidR="004E713D" w:rsidRDefault="00A56AE8" w:rsidP="004E713D">
            <w:pPr>
              <w:autoSpaceDE w:val="0"/>
              <w:autoSpaceDN w:val="0"/>
              <w:adjustRightInd w:val="0"/>
              <w:rPr>
                <w:rFonts w:cs="Arial"/>
                <w:sz w:val="24"/>
                <w:lang w:val="es-ES_tradnl"/>
              </w:rPr>
            </w:pPr>
            <w:r w:rsidRPr="00B076D5">
              <w:rPr>
                <w:rFonts w:cs="Arial"/>
                <w:b/>
                <w:bCs/>
                <w:sz w:val="24"/>
                <w:szCs w:val="24"/>
              </w:rPr>
              <w:t>Normas que otorgan competencia para la expedición del acto</w:t>
            </w:r>
            <w:r w:rsidRPr="00A57862">
              <w:rPr>
                <w:rFonts w:cs="Arial"/>
                <w:bCs/>
                <w:sz w:val="24"/>
                <w:szCs w:val="24"/>
              </w:rPr>
              <w:t>:</w:t>
            </w:r>
            <w:r w:rsidR="00A57862" w:rsidRPr="00A57862">
              <w:rPr>
                <w:rFonts w:cs="Arial"/>
                <w:bCs/>
                <w:sz w:val="24"/>
                <w:szCs w:val="24"/>
              </w:rPr>
              <w:t xml:space="preserve"> </w:t>
            </w:r>
            <w:r w:rsidR="004F7BFB">
              <w:t xml:space="preserve"> </w:t>
            </w:r>
            <w:r w:rsidR="004E713D">
              <w:rPr>
                <w:rFonts w:cs="Arial"/>
                <w:sz w:val="24"/>
                <w:lang w:val="es-ES_tradnl"/>
              </w:rPr>
              <w:t xml:space="preserve"> Artículo 18 del Decreto 1454 de 1998 y el numeral 1.13 del Acuerdo 2242 de 2019.</w:t>
            </w:r>
          </w:p>
          <w:p w14:paraId="4B282CFC" w14:textId="77777777" w:rsidR="009C2732" w:rsidRPr="004E713D" w:rsidRDefault="009C2732" w:rsidP="00B076D5">
            <w:pPr>
              <w:jc w:val="both"/>
              <w:rPr>
                <w:lang w:val="es-ES_tradnl"/>
              </w:rPr>
            </w:pPr>
          </w:p>
        </w:tc>
      </w:tr>
      <w:tr w:rsidR="00FF1E8D" w14:paraId="00729507" w14:textId="77777777" w:rsidTr="009C2732">
        <w:trPr>
          <w:trHeight w:val="527"/>
        </w:trPr>
        <w:tc>
          <w:tcPr>
            <w:tcW w:w="8977" w:type="dxa"/>
          </w:tcPr>
          <w:p w14:paraId="019EFC70" w14:textId="77777777" w:rsidR="004B06FD" w:rsidRDefault="00A57862" w:rsidP="00B076D5">
            <w:pPr>
              <w:rPr>
                <w:rFonts w:cs="Arial"/>
                <w:b/>
                <w:bCs/>
                <w:sz w:val="24"/>
                <w:szCs w:val="24"/>
              </w:rPr>
            </w:pPr>
            <w:r w:rsidRPr="00A57862">
              <w:rPr>
                <w:rFonts w:cs="Arial"/>
                <w:b/>
                <w:bCs/>
                <w:sz w:val="24"/>
                <w:szCs w:val="24"/>
              </w:rPr>
              <w:t>Vigencia de la norma reglamentada o desarrollada:</w:t>
            </w:r>
            <w:r>
              <w:rPr>
                <w:rFonts w:cs="Arial"/>
                <w:b/>
                <w:bCs/>
                <w:sz w:val="24"/>
                <w:szCs w:val="24"/>
              </w:rPr>
              <w:t xml:space="preserve"> </w:t>
            </w:r>
            <w:r w:rsidR="00496C2E" w:rsidRPr="00496C2E">
              <w:rPr>
                <w:rFonts w:cs="Arial"/>
                <w:bCs/>
                <w:sz w:val="24"/>
                <w:szCs w:val="24"/>
              </w:rPr>
              <w:t>La resolución comenzará a regir a parti</w:t>
            </w:r>
            <w:r w:rsidR="00F024DC">
              <w:rPr>
                <w:rFonts w:cs="Arial"/>
                <w:bCs/>
                <w:sz w:val="24"/>
                <w:szCs w:val="24"/>
              </w:rPr>
              <w:t>r</w:t>
            </w:r>
            <w:r w:rsidR="00496C2E" w:rsidRPr="00496C2E">
              <w:rPr>
                <w:rFonts w:cs="Arial"/>
                <w:bCs/>
                <w:sz w:val="24"/>
                <w:szCs w:val="24"/>
              </w:rPr>
              <w:t xml:space="preserve"> de la fecha de su publicación.</w:t>
            </w:r>
          </w:p>
          <w:p w14:paraId="4B471161" w14:textId="77777777" w:rsidR="00B076D5" w:rsidRPr="00A57862" w:rsidRDefault="00B076D5" w:rsidP="00B076D5">
            <w:pPr>
              <w:rPr>
                <w:b/>
              </w:rPr>
            </w:pPr>
          </w:p>
        </w:tc>
      </w:tr>
      <w:tr w:rsidR="00FF1E8D" w14:paraId="16F18994" w14:textId="77777777" w:rsidTr="009C2732">
        <w:trPr>
          <w:trHeight w:val="1085"/>
        </w:trPr>
        <w:tc>
          <w:tcPr>
            <w:tcW w:w="8977" w:type="dxa"/>
          </w:tcPr>
          <w:p w14:paraId="46CBE3DE" w14:textId="77777777" w:rsidR="00211908" w:rsidRPr="0009232C" w:rsidRDefault="0009232C" w:rsidP="00B076D5">
            <w:pPr>
              <w:jc w:val="both"/>
              <w:rPr>
                <w:b/>
              </w:rPr>
            </w:pPr>
            <w:r w:rsidRPr="0009232C">
              <w:rPr>
                <w:rFonts w:cs="Arial"/>
                <w:b/>
                <w:bCs/>
                <w:sz w:val="24"/>
                <w:szCs w:val="24"/>
              </w:rPr>
              <w:t>Disposiciones derogadas, subrogadas, modificadas, adicionadas o sustituidas</w:t>
            </w:r>
            <w:r w:rsidR="004F7BFB">
              <w:rPr>
                <w:rFonts w:cs="Arial"/>
                <w:b/>
                <w:bCs/>
                <w:sz w:val="24"/>
                <w:szCs w:val="24"/>
              </w:rPr>
              <w:t xml:space="preserve">. </w:t>
            </w:r>
            <w:r w:rsidR="00496C2E">
              <w:rPr>
                <w:rFonts w:cs="Arial"/>
                <w:b/>
                <w:bCs/>
                <w:sz w:val="24"/>
                <w:szCs w:val="24"/>
              </w:rPr>
              <w:t xml:space="preserve"> </w:t>
            </w:r>
            <w:r w:rsidR="00496C2E" w:rsidRPr="00087721">
              <w:rPr>
                <w:rFonts w:cs="Arial"/>
                <w:bCs/>
                <w:sz w:val="24"/>
                <w:szCs w:val="24"/>
              </w:rPr>
              <w:t xml:space="preserve">Se deroga la </w:t>
            </w:r>
            <w:r w:rsidR="004507A0" w:rsidRPr="00087721">
              <w:rPr>
                <w:rFonts w:cs="Arial"/>
                <w:bCs/>
                <w:sz w:val="24"/>
                <w:szCs w:val="24"/>
              </w:rPr>
              <w:t>Resolución 175 de 2016</w:t>
            </w:r>
            <w:r w:rsidR="00F024DC">
              <w:rPr>
                <w:rFonts w:cs="Arial"/>
                <w:bCs/>
                <w:sz w:val="24"/>
                <w:szCs w:val="24"/>
              </w:rPr>
              <w:t xml:space="preserve"> por medio de la cual </w:t>
            </w:r>
            <w:r w:rsidR="002B52D6">
              <w:rPr>
                <w:rFonts w:cs="Arial"/>
                <w:bCs/>
                <w:sz w:val="24"/>
                <w:szCs w:val="24"/>
              </w:rPr>
              <w:t xml:space="preserve">se reglamentaba el tema relacionado con </w:t>
            </w:r>
            <w:r w:rsidR="00DD05AF">
              <w:rPr>
                <w:rFonts w:cs="Arial"/>
                <w:bCs/>
                <w:sz w:val="24"/>
                <w:szCs w:val="24"/>
              </w:rPr>
              <w:t xml:space="preserve">avalúos. </w:t>
            </w:r>
          </w:p>
        </w:tc>
      </w:tr>
      <w:tr w:rsidR="00A56AE8" w14:paraId="585EF1AC" w14:textId="77777777" w:rsidTr="009C2732">
        <w:trPr>
          <w:trHeight w:val="1271"/>
        </w:trPr>
        <w:tc>
          <w:tcPr>
            <w:tcW w:w="8977" w:type="dxa"/>
          </w:tcPr>
          <w:p w14:paraId="230CA19B" w14:textId="6B9A316E" w:rsidR="00CE4B4D" w:rsidRDefault="00557544" w:rsidP="003E1E17">
            <w:pPr>
              <w:jc w:val="both"/>
              <w:rPr>
                <w:rFonts w:cs="Arial"/>
                <w:bCs/>
                <w:sz w:val="24"/>
                <w:szCs w:val="24"/>
              </w:rPr>
            </w:pPr>
            <w:r w:rsidRPr="00C90230">
              <w:rPr>
                <w:rFonts w:cs="Arial"/>
                <w:b/>
                <w:sz w:val="24"/>
                <w:szCs w:val="24"/>
                <w:lang w:val="es-CO"/>
              </w:rPr>
              <w:t>A</w:t>
            </w:r>
            <w:r w:rsidR="00D41EE3" w:rsidRPr="00C90230">
              <w:rPr>
                <w:rFonts w:cs="Arial"/>
                <w:b/>
                <w:sz w:val="24"/>
                <w:szCs w:val="24"/>
                <w:lang w:val="es-CO"/>
              </w:rPr>
              <w:t>ntecedentes y razones de oportunidad y conveniencia que justifican la expedición del proyecto</w:t>
            </w:r>
            <w:r w:rsidR="00D41EE3" w:rsidRPr="002D3AB9">
              <w:rPr>
                <w:rFonts w:cs="Arial"/>
                <w:b/>
                <w:color w:val="FF0000"/>
                <w:sz w:val="24"/>
                <w:szCs w:val="24"/>
                <w:lang w:val="es-CO"/>
              </w:rPr>
              <w:t>.</w:t>
            </w:r>
            <w:r w:rsidR="00A13EA8" w:rsidRPr="002D3AB9">
              <w:rPr>
                <w:rFonts w:cs="Arial"/>
                <w:b/>
                <w:color w:val="FF0000"/>
                <w:sz w:val="24"/>
                <w:szCs w:val="24"/>
                <w:lang w:val="es-CO"/>
              </w:rPr>
              <w:t xml:space="preserve"> </w:t>
            </w:r>
            <w:r w:rsidR="00DD18F2" w:rsidRPr="00DD18F2">
              <w:rPr>
                <w:rFonts w:cs="Arial"/>
                <w:bCs/>
                <w:sz w:val="24"/>
                <w:szCs w:val="24"/>
              </w:rPr>
              <w:t xml:space="preserve"> </w:t>
            </w:r>
            <w:r w:rsidR="00DD18F2">
              <w:rPr>
                <w:rFonts w:cs="Arial"/>
                <w:bCs/>
                <w:sz w:val="24"/>
                <w:szCs w:val="24"/>
              </w:rPr>
              <w:t>Durante sesión de carácter ordinario del 28 de marzo de 2019 la Junta Directiva del FNA</w:t>
            </w:r>
            <w:r w:rsidR="00C90230">
              <w:rPr>
                <w:rFonts w:cs="Arial"/>
                <w:bCs/>
                <w:sz w:val="24"/>
                <w:szCs w:val="24"/>
              </w:rPr>
              <w:t xml:space="preserve"> </w:t>
            </w:r>
            <w:r w:rsidR="00DD18F2">
              <w:rPr>
                <w:rFonts w:cs="Arial"/>
                <w:bCs/>
                <w:sz w:val="24"/>
                <w:szCs w:val="24"/>
              </w:rPr>
              <w:t>acepta</w:t>
            </w:r>
            <w:r w:rsidR="00CE4B4D">
              <w:rPr>
                <w:rFonts w:cs="Arial"/>
                <w:bCs/>
                <w:sz w:val="24"/>
                <w:szCs w:val="24"/>
              </w:rPr>
              <w:t xml:space="preserve"> la</w:t>
            </w:r>
            <w:r w:rsidR="00DD18F2">
              <w:rPr>
                <w:rFonts w:cs="Arial"/>
                <w:bCs/>
                <w:sz w:val="24"/>
                <w:szCs w:val="24"/>
              </w:rPr>
              <w:t xml:space="preserve"> propuesta llevada por la administración previa autorización del Cuerpo Colegiado, para que el FNA no </w:t>
            </w:r>
            <w:r w:rsidR="00C90230">
              <w:rPr>
                <w:rFonts w:cs="Arial"/>
                <w:bCs/>
                <w:sz w:val="24"/>
                <w:szCs w:val="24"/>
              </w:rPr>
              <w:t xml:space="preserve">continúe </w:t>
            </w:r>
            <w:r w:rsidR="00DD18F2">
              <w:rPr>
                <w:rFonts w:cs="Arial"/>
                <w:bCs/>
                <w:sz w:val="24"/>
                <w:szCs w:val="24"/>
              </w:rPr>
              <w:t>asumie</w:t>
            </w:r>
            <w:r w:rsidR="00C90230">
              <w:rPr>
                <w:rFonts w:cs="Arial"/>
                <w:bCs/>
                <w:sz w:val="24"/>
                <w:szCs w:val="24"/>
              </w:rPr>
              <w:t>ndo</w:t>
            </w:r>
            <w:r w:rsidR="00DD18F2">
              <w:rPr>
                <w:rFonts w:cs="Arial"/>
                <w:bCs/>
                <w:sz w:val="24"/>
                <w:szCs w:val="24"/>
              </w:rPr>
              <w:t xml:space="preserve"> el costo de todos los avalúos</w:t>
            </w:r>
            <w:r w:rsidR="00C90230">
              <w:rPr>
                <w:rFonts w:cs="Arial"/>
                <w:bCs/>
                <w:sz w:val="24"/>
                <w:szCs w:val="24"/>
              </w:rPr>
              <w:t>, que se requieren en el trámite de legalización del crédito para vivienda</w:t>
            </w:r>
            <w:r w:rsidR="00CE4B4D">
              <w:rPr>
                <w:rFonts w:cs="Arial"/>
                <w:bCs/>
                <w:sz w:val="24"/>
                <w:szCs w:val="24"/>
              </w:rPr>
              <w:t xml:space="preserve">. Lo anterior teniendo en cuenta que </w:t>
            </w:r>
            <w:r w:rsidR="00883F55">
              <w:rPr>
                <w:rFonts w:cs="Arial"/>
                <w:bCs/>
                <w:sz w:val="24"/>
                <w:szCs w:val="24"/>
              </w:rPr>
              <w:t xml:space="preserve">el FNA destinaba más de </w:t>
            </w:r>
            <w:r w:rsidR="008A27A7">
              <w:rPr>
                <w:rFonts w:cs="Arial"/>
                <w:bCs/>
                <w:sz w:val="24"/>
                <w:szCs w:val="24"/>
              </w:rPr>
              <w:t xml:space="preserve">$ </w:t>
            </w:r>
            <w:r w:rsidR="00883F55">
              <w:rPr>
                <w:rFonts w:cs="Arial"/>
                <w:bCs/>
                <w:sz w:val="24"/>
                <w:szCs w:val="24"/>
              </w:rPr>
              <w:t xml:space="preserve">5.000 millones </w:t>
            </w:r>
            <w:r w:rsidR="008A27A7">
              <w:rPr>
                <w:rFonts w:cs="Arial"/>
                <w:bCs/>
                <w:sz w:val="24"/>
                <w:szCs w:val="24"/>
              </w:rPr>
              <w:t xml:space="preserve">de pesos </w:t>
            </w:r>
            <w:r w:rsidR="00883F55">
              <w:rPr>
                <w:rFonts w:cs="Arial"/>
                <w:bCs/>
                <w:sz w:val="24"/>
                <w:szCs w:val="24"/>
              </w:rPr>
              <w:t>para esta labor</w:t>
            </w:r>
            <w:r w:rsidR="00CE4B4D">
              <w:rPr>
                <w:rFonts w:cs="Arial"/>
                <w:bCs/>
                <w:sz w:val="24"/>
                <w:szCs w:val="24"/>
              </w:rPr>
              <w:t>.</w:t>
            </w:r>
          </w:p>
          <w:p w14:paraId="327BC1D3" w14:textId="77777777" w:rsidR="00CE4B4D" w:rsidRDefault="00CE4B4D" w:rsidP="003E1E17">
            <w:pPr>
              <w:jc w:val="both"/>
              <w:rPr>
                <w:rFonts w:cs="Arial"/>
                <w:bCs/>
                <w:sz w:val="24"/>
                <w:szCs w:val="24"/>
              </w:rPr>
            </w:pPr>
          </w:p>
          <w:p w14:paraId="58F08359" w14:textId="08B2CD4E" w:rsidR="00CE4B4D" w:rsidRDefault="00CE4B4D" w:rsidP="00CE4B4D">
            <w:pPr>
              <w:jc w:val="both"/>
              <w:rPr>
                <w:rFonts w:cs="Arial"/>
                <w:bCs/>
                <w:sz w:val="24"/>
                <w:szCs w:val="24"/>
              </w:rPr>
            </w:pPr>
            <w:r>
              <w:rPr>
                <w:rFonts w:cs="Arial"/>
                <w:bCs/>
                <w:sz w:val="24"/>
                <w:szCs w:val="24"/>
              </w:rPr>
              <w:t xml:space="preserve">No </w:t>
            </w:r>
            <w:proofErr w:type="gramStart"/>
            <w:r>
              <w:rPr>
                <w:rFonts w:cs="Arial"/>
                <w:bCs/>
                <w:sz w:val="24"/>
                <w:szCs w:val="24"/>
              </w:rPr>
              <w:t>obstante</w:t>
            </w:r>
            <w:proofErr w:type="gramEnd"/>
            <w:r>
              <w:rPr>
                <w:rFonts w:cs="Arial"/>
                <w:bCs/>
                <w:sz w:val="24"/>
                <w:szCs w:val="24"/>
              </w:rPr>
              <w:t xml:space="preserve"> lo anterior, el Fondo Nacional del Ahorro continuará asumiendo este gasto para </w:t>
            </w:r>
            <w:r>
              <w:rPr>
                <w:rFonts w:cs="Arial"/>
                <w:bCs/>
                <w:sz w:val="24"/>
                <w:szCs w:val="24"/>
              </w:rPr>
              <w:t xml:space="preserve">quienes </w:t>
            </w:r>
            <w:r>
              <w:rPr>
                <w:rFonts w:cs="Arial"/>
                <w:bCs/>
                <w:sz w:val="24"/>
                <w:szCs w:val="24"/>
              </w:rPr>
              <w:t>devenguen</w:t>
            </w:r>
            <w:r>
              <w:rPr>
                <w:rFonts w:cs="Arial"/>
                <w:bCs/>
                <w:sz w:val="24"/>
                <w:szCs w:val="24"/>
              </w:rPr>
              <w:t xml:space="preserve"> hasta 2</w:t>
            </w:r>
            <w:r>
              <w:rPr>
                <w:rFonts w:cs="Arial"/>
                <w:bCs/>
                <w:sz w:val="24"/>
                <w:szCs w:val="24"/>
              </w:rPr>
              <w:t xml:space="preserve"> </w:t>
            </w:r>
            <w:r>
              <w:rPr>
                <w:rFonts w:cs="Arial"/>
                <w:bCs/>
                <w:sz w:val="24"/>
                <w:szCs w:val="24"/>
              </w:rPr>
              <w:t>SMLMV de ingreso para aprobación y adquieran vivienda VI</w:t>
            </w:r>
            <w:r>
              <w:rPr>
                <w:rFonts w:cs="Arial"/>
                <w:bCs/>
                <w:sz w:val="24"/>
                <w:szCs w:val="24"/>
              </w:rPr>
              <w:t>S</w:t>
            </w:r>
            <w:r>
              <w:rPr>
                <w:rFonts w:cs="Arial"/>
                <w:bCs/>
                <w:sz w:val="24"/>
                <w:szCs w:val="24"/>
              </w:rPr>
              <w:t xml:space="preserve">. </w:t>
            </w:r>
          </w:p>
          <w:p w14:paraId="79702BB0" w14:textId="66B0ADE9" w:rsidR="00883F55" w:rsidRPr="00DD18F2" w:rsidRDefault="00883F55" w:rsidP="003E1E17">
            <w:pPr>
              <w:jc w:val="both"/>
              <w:rPr>
                <w:rFonts w:cs="Arial"/>
                <w:bCs/>
                <w:sz w:val="24"/>
                <w:szCs w:val="24"/>
              </w:rPr>
            </w:pPr>
            <w:bookmarkStart w:id="0" w:name="_GoBack"/>
            <w:bookmarkEnd w:id="0"/>
          </w:p>
          <w:p w14:paraId="5B5E4F22" w14:textId="5082AC00" w:rsidR="00F024DC" w:rsidRPr="00883F55" w:rsidRDefault="00883F55" w:rsidP="003E1E17">
            <w:pPr>
              <w:jc w:val="both"/>
              <w:rPr>
                <w:rFonts w:cs="Arial"/>
                <w:bCs/>
                <w:sz w:val="24"/>
                <w:szCs w:val="24"/>
              </w:rPr>
            </w:pPr>
            <w:r w:rsidRPr="00883F55">
              <w:rPr>
                <w:rFonts w:cs="Arial"/>
                <w:bCs/>
                <w:sz w:val="24"/>
                <w:szCs w:val="24"/>
              </w:rPr>
              <w:t>Te</w:t>
            </w:r>
            <w:r>
              <w:rPr>
                <w:rFonts w:cs="Arial"/>
                <w:bCs/>
                <w:sz w:val="24"/>
                <w:szCs w:val="24"/>
              </w:rPr>
              <w:t xml:space="preserve">niendo en cuenta </w:t>
            </w:r>
            <w:r w:rsidR="00CE4B4D">
              <w:rPr>
                <w:rFonts w:cs="Arial"/>
                <w:bCs/>
                <w:sz w:val="24"/>
                <w:szCs w:val="24"/>
              </w:rPr>
              <w:t>lo anterior</w:t>
            </w:r>
            <w:r w:rsidR="00C90230">
              <w:rPr>
                <w:rFonts w:cs="Arial"/>
                <w:bCs/>
                <w:sz w:val="24"/>
                <w:szCs w:val="24"/>
              </w:rPr>
              <w:t>,</w:t>
            </w:r>
            <w:r>
              <w:rPr>
                <w:rFonts w:cs="Arial"/>
                <w:bCs/>
                <w:sz w:val="24"/>
                <w:szCs w:val="24"/>
              </w:rPr>
              <w:t xml:space="preserve"> y las prácticas del mercado </w:t>
            </w:r>
            <w:r w:rsidR="00CE4B4D">
              <w:rPr>
                <w:rFonts w:cs="Arial"/>
                <w:bCs/>
                <w:sz w:val="24"/>
                <w:szCs w:val="24"/>
              </w:rPr>
              <w:t xml:space="preserve">de las entidades con </w:t>
            </w:r>
            <w:r w:rsidR="00355DC8">
              <w:rPr>
                <w:rFonts w:cs="Arial"/>
                <w:bCs/>
                <w:sz w:val="24"/>
                <w:szCs w:val="24"/>
              </w:rPr>
              <w:t>l</w:t>
            </w:r>
            <w:r w:rsidR="00CE4B4D">
              <w:rPr>
                <w:rFonts w:cs="Arial"/>
                <w:bCs/>
                <w:sz w:val="24"/>
                <w:szCs w:val="24"/>
              </w:rPr>
              <w:t xml:space="preserve">as que compite el FNA, según las cuales el avalúo es cancelado por el beneficiario del crédito, </w:t>
            </w:r>
            <w:r>
              <w:rPr>
                <w:rFonts w:cs="Arial"/>
                <w:bCs/>
                <w:sz w:val="24"/>
                <w:szCs w:val="24"/>
              </w:rPr>
              <w:t xml:space="preserve">se requiere ajustar la </w:t>
            </w:r>
            <w:r w:rsidR="00355DC8">
              <w:rPr>
                <w:rFonts w:cs="Arial"/>
                <w:bCs/>
                <w:sz w:val="24"/>
                <w:szCs w:val="24"/>
              </w:rPr>
              <w:t>Resolución</w:t>
            </w:r>
            <w:r w:rsidR="00C90230">
              <w:rPr>
                <w:rFonts w:cs="Arial"/>
                <w:bCs/>
                <w:sz w:val="24"/>
                <w:szCs w:val="24"/>
              </w:rPr>
              <w:t xml:space="preserve"> que regula el </w:t>
            </w:r>
            <w:r w:rsidR="00355DC8">
              <w:rPr>
                <w:rFonts w:cs="Arial"/>
                <w:bCs/>
                <w:sz w:val="24"/>
                <w:szCs w:val="24"/>
              </w:rPr>
              <w:t>tema y que establece a cargo del FNA el pago de todos los avalúos que se generen en el proceso de legalización del crédito para vivienda</w:t>
            </w:r>
            <w:r>
              <w:rPr>
                <w:rFonts w:cs="Arial"/>
                <w:bCs/>
                <w:sz w:val="24"/>
                <w:szCs w:val="24"/>
              </w:rPr>
              <w:t>.</w:t>
            </w:r>
          </w:p>
          <w:p w14:paraId="28798137" w14:textId="77777777" w:rsidR="00F024DC" w:rsidRPr="00C90230" w:rsidRDefault="00F024DC" w:rsidP="00B076D5">
            <w:pPr>
              <w:jc w:val="both"/>
            </w:pPr>
          </w:p>
        </w:tc>
      </w:tr>
      <w:tr w:rsidR="00A56AE8" w14:paraId="7E427058" w14:textId="77777777" w:rsidTr="009C2732">
        <w:trPr>
          <w:trHeight w:val="1101"/>
        </w:trPr>
        <w:tc>
          <w:tcPr>
            <w:tcW w:w="8977" w:type="dxa"/>
          </w:tcPr>
          <w:p w14:paraId="4D6A3364" w14:textId="77777777" w:rsidR="005902B8" w:rsidRDefault="00557544" w:rsidP="00B076D5">
            <w:pPr>
              <w:jc w:val="both"/>
            </w:pPr>
            <w:r w:rsidRPr="008A563D">
              <w:rPr>
                <w:rFonts w:cs="Arial"/>
                <w:b/>
                <w:sz w:val="24"/>
                <w:szCs w:val="24"/>
              </w:rPr>
              <w:lastRenderedPageBreak/>
              <w:t>AMBITO DE APLICACIÓN DEL RESPECTIVO ACTO Y SUJETO A QUIEN VA DIRIGIDO</w:t>
            </w:r>
            <w:r>
              <w:rPr>
                <w:rFonts w:cs="Arial"/>
                <w:b/>
                <w:sz w:val="24"/>
                <w:szCs w:val="24"/>
              </w:rPr>
              <w:t>:</w:t>
            </w:r>
            <w:r w:rsidR="004F7BFB">
              <w:rPr>
                <w:rFonts w:cs="Arial"/>
                <w:b/>
                <w:sz w:val="24"/>
                <w:szCs w:val="24"/>
              </w:rPr>
              <w:t xml:space="preserve"> </w:t>
            </w:r>
            <w:r w:rsidR="00087721" w:rsidRPr="00087721">
              <w:rPr>
                <w:rFonts w:cs="Arial"/>
                <w:sz w:val="24"/>
                <w:szCs w:val="24"/>
              </w:rPr>
              <w:t>El acto administrativo va dirigido a los afiliados al FNA que se encuentran realizando un trámite de legalización de crédito.</w:t>
            </w:r>
          </w:p>
        </w:tc>
      </w:tr>
      <w:tr w:rsidR="00A56AE8" w14:paraId="3959E7B9" w14:textId="77777777" w:rsidTr="009C2732">
        <w:trPr>
          <w:trHeight w:val="992"/>
        </w:trPr>
        <w:tc>
          <w:tcPr>
            <w:tcW w:w="8977" w:type="dxa"/>
          </w:tcPr>
          <w:p w14:paraId="55DCEB2F" w14:textId="77777777" w:rsidR="00726FC5" w:rsidRPr="00726FC5" w:rsidRDefault="00FD3B2A" w:rsidP="00726FC5">
            <w:pPr>
              <w:pStyle w:val="Prrafodelista"/>
              <w:widowControl w:val="0"/>
              <w:tabs>
                <w:tab w:val="left" w:pos="708"/>
              </w:tabs>
              <w:suppressAutoHyphens/>
              <w:spacing w:before="288" w:line="288" w:lineRule="exact"/>
              <w:ind w:left="0"/>
              <w:jc w:val="both"/>
              <w:textAlignment w:val="baseline"/>
              <w:rPr>
                <w:rFonts w:ascii="Arial" w:hAnsi="Arial" w:cs="Arial"/>
                <w:sz w:val="24"/>
                <w:szCs w:val="24"/>
              </w:rPr>
            </w:pPr>
            <w:r w:rsidRPr="00726FC5">
              <w:rPr>
                <w:rFonts w:ascii="Arial" w:hAnsi="Arial" w:cs="Arial"/>
                <w:b/>
                <w:sz w:val="24"/>
                <w:szCs w:val="24"/>
              </w:rPr>
              <w:t>VIABILIDAD JURÍDICA</w:t>
            </w:r>
            <w:r w:rsidRPr="00726FC5">
              <w:rPr>
                <w:rFonts w:ascii="Arial" w:hAnsi="Arial" w:cs="Arial"/>
                <w:sz w:val="24"/>
                <w:szCs w:val="24"/>
              </w:rPr>
              <w:t xml:space="preserve">: </w:t>
            </w:r>
            <w:r w:rsidR="0008483B" w:rsidRPr="00726FC5">
              <w:rPr>
                <w:rFonts w:ascii="Arial" w:hAnsi="Arial" w:cs="Arial"/>
                <w:sz w:val="24"/>
                <w:szCs w:val="24"/>
              </w:rPr>
              <w:t xml:space="preserve"> </w:t>
            </w:r>
            <w:r w:rsidR="00087721" w:rsidRPr="00005182">
              <w:rPr>
                <w:rFonts w:ascii="Arial" w:hAnsi="Arial" w:cs="Arial"/>
                <w:sz w:val="24"/>
                <w:szCs w:val="24"/>
              </w:rPr>
              <w:t>E</w:t>
            </w:r>
            <w:r w:rsidR="00DD05AF" w:rsidRPr="00005182">
              <w:rPr>
                <w:rFonts w:ascii="Arial" w:hAnsi="Arial" w:cs="Arial"/>
                <w:sz w:val="24"/>
                <w:szCs w:val="24"/>
              </w:rPr>
              <w:t>l</w:t>
            </w:r>
            <w:r w:rsidR="00087721" w:rsidRPr="00005182">
              <w:rPr>
                <w:rFonts w:ascii="Arial" w:hAnsi="Arial" w:cs="Arial"/>
                <w:sz w:val="24"/>
                <w:szCs w:val="24"/>
              </w:rPr>
              <w:t xml:space="preserve"> proyecto cuenta con viabilidad jurídica por cuanto se emite por </w:t>
            </w:r>
            <w:r w:rsidR="00F024DC" w:rsidRPr="00005182">
              <w:rPr>
                <w:rFonts w:ascii="Arial" w:hAnsi="Arial" w:cs="Arial"/>
                <w:sz w:val="24"/>
                <w:szCs w:val="24"/>
              </w:rPr>
              <w:t>la autoridad competente y</w:t>
            </w:r>
            <w:r w:rsidR="00DD05AF" w:rsidRPr="00005182">
              <w:rPr>
                <w:rFonts w:ascii="Arial" w:hAnsi="Arial" w:cs="Arial"/>
                <w:sz w:val="24"/>
                <w:szCs w:val="24"/>
              </w:rPr>
              <w:t xml:space="preserve"> se expide en ejercicio del objeto legal y funciones que legalmente corresponden al Fondo Nacional del Ahorro</w:t>
            </w:r>
            <w:r w:rsidR="007E300B" w:rsidRPr="00005182">
              <w:rPr>
                <w:rFonts w:ascii="Arial" w:hAnsi="Arial" w:cs="Arial"/>
                <w:sz w:val="24"/>
                <w:szCs w:val="24"/>
              </w:rPr>
              <w:t xml:space="preserve">, </w:t>
            </w:r>
            <w:r w:rsidR="00726FC5" w:rsidRPr="00726FC5">
              <w:rPr>
                <w:rFonts w:ascii="Arial" w:hAnsi="Arial" w:cs="Arial"/>
                <w:sz w:val="24"/>
                <w:szCs w:val="24"/>
              </w:rPr>
              <w:t xml:space="preserve">Empresa Industrial y Comercial del Estado, de carácter financiero, del orden nacional, organizada como establecimiento de crédito. </w:t>
            </w:r>
          </w:p>
          <w:p w14:paraId="173756CC" w14:textId="77777777" w:rsidR="00726FC5" w:rsidRPr="00DD6DF5" w:rsidRDefault="00726FC5" w:rsidP="00726FC5">
            <w:pPr>
              <w:spacing w:before="297" w:line="288" w:lineRule="exact"/>
              <w:jc w:val="both"/>
              <w:rPr>
                <w:sz w:val="24"/>
                <w:szCs w:val="24"/>
              </w:rPr>
            </w:pPr>
            <w:r w:rsidRPr="00DD6DF5">
              <w:rPr>
                <w:sz w:val="24"/>
                <w:szCs w:val="24"/>
              </w:rPr>
              <w:t xml:space="preserve">Según se precisa en el artículo 2° de la ley 432 de 1998, el objeto del FONDO NACIONAL DEL AHORRO es administrar las cesantías y contribuir a la solución del problema de vivienda y de educación de los afiliados, con el fin de mejorar su calidad de vida, para lo cual se le asigna la función de otorgar créditos para vivienda y para educación. </w:t>
            </w:r>
          </w:p>
          <w:p w14:paraId="284D5245" w14:textId="77777777" w:rsidR="00211908" w:rsidRPr="00A57554" w:rsidRDefault="00211908" w:rsidP="009C2732">
            <w:pPr>
              <w:jc w:val="both"/>
            </w:pPr>
          </w:p>
        </w:tc>
      </w:tr>
      <w:tr w:rsidR="00A56AE8" w14:paraId="61178416" w14:textId="77777777" w:rsidTr="009C2732">
        <w:trPr>
          <w:trHeight w:val="511"/>
        </w:trPr>
        <w:tc>
          <w:tcPr>
            <w:tcW w:w="8977" w:type="dxa"/>
          </w:tcPr>
          <w:p w14:paraId="0FEA478E" w14:textId="1E8C7BE8" w:rsidR="00D91822" w:rsidRDefault="00AA6BD0" w:rsidP="003E1E17">
            <w:pPr>
              <w:jc w:val="both"/>
              <w:rPr>
                <w:sz w:val="24"/>
                <w:szCs w:val="24"/>
              </w:rPr>
            </w:pPr>
            <w:r w:rsidRPr="00D42ED1">
              <w:rPr>
                <w:rFonts w:cs="Arial"/>
                <w:b/>
                <w:sz w:val="24"/>
                <w:szCs w:val="24"/>
              </w:rPr>
              <w:t>IMPACTO ECONÓMICO</w:t>
            </w:r>
            <w:r w:rsidR="005203A3" w:rsidRPr="00D42ED1">
              <w:rPr>
                <w:rFonts w:cs="Arial"/>
                <w:b/>
                <w:sz w:val="24"/>
                <w:szCs w:val="24"/>
              </w:rPr>
              <w:t>:</w:t>
            </w:r>
            <w:r w:rsidRPr="00D42ED1">
              <w:rPr>
                <w:rFonts w:cs="Arial"/>
                <w:b/>
                <w:sz w:val="24"/>
                <w:szCs w:val="24"/>
              </w:rPr>
              <w:t xml:space="preserve"> </w:t>
            </w:r>
            <w:r w:rsidR="00D32E18" w:rsidRPr="00D32E18">
              <w:rPr>
                <w:sz w:val="24"/>
                <w:szCs w:val="24"/>
              </w:rPr>
              <w:t>Para el FNA</w:t>
            </w:r>
            <w:r w:rsidR="00D32E18">
              <w:rPr>
                <w:sz w:val="24"/>
                <w:szCs w:val="24"/>
              </w:rPr>
              <w:t xml:space="preserve"> </w:t>
            </w:r>
            <w:r w:rsidR="00D91822">
              <w:rPr>
                <w:sz w:val="24"/>
                <w:szCs w:val="24"/>
              </w:rPr>
              <w:t>desde el punto de vista financiero es una medida po</w:t>
            </w:r>
            <w:r w:rsidR="00D32E18">
              <w:rPr>
                <w:sz w:val="24"/>
                <w:szCs w:val="24"/>
              </w:rPr>
              <w:t>sitiv</w:t>
            </w:r>
            <w:r w:rsidR="00D91822">
              <w:rPr>
                <w:sz w:val="24"/>
                <w:szCs w:val="24"/>
              </w:rPr>
              <w:t>a por cuanto se reduce el gasto en el que</w:t>
            </w:r>
            <w:r w:rsidR="00D42ED1">
              <w:rPr>
                <w:sz w:val="24"/>
                <w:szCs w:val="24"/>
              </w:rPr>
              <w:t xml:space="preserve"> a la fecha está</w:t>
            </w:r>
            <w:r w:rsidR="00CB3FDC">
              <w:rPr>
                <w:sz w:val="24"/>
                <w:szCs w:val="24"/>
              </w:rPr>
              <w:t xml:space="preserve"> incurriendo por los avalúos.</w:t>
            </w:r>
          </w:p>
          <w:p w14:paraId="719B733F" w14:textId="0E7A4721" w:rsidR="00D91822" w:rsidRDefault="00D42ED1" w:rsidP="00D42ED1">
            <w:pPr>
              <w:tabs>
                <w:tab w:val="left" w:pos="5520"/>
              </w:tabs>
              <w:jc w:val="both"/>
              <w:rPr>
                <w:sz w:val="24"/>
                <w:szCs w:val="24"/>
              </w:rPr>
            </w:pPr>
            <w:r>
              <w:rPr>
                <w:sz w:val="24"/>
                <w:szCs w:val="24"/>
              </w:rPr>
              <w:tab/>
            </w:r>
          </w:p>
          <w:p w14:paraId="730CE52B" w14:textId="16BB6971" w:rsidR="00CB3FDC" w:rsidRDefault="00CB3FDC" w:rsidP="003E1E17">
            <w:pPr>
              <w:jc w:val="both"/>
            </w:pPr>
            <w:r>
              <w:rPr>
                <w:sz w:val="24"/>
                <w:szCs w:val="24"/>
              </w:rPr>
              <w:t>El afiliado, salvo la excepción prevista en el proyecto</w:t>
            </w:r>
            <w:r w:rsidR="00D42ED1">
              <w:rPr>
                <w:sz w:val="24"/>
                <w:szCs w:val="24"/>
              </w:rPr>
              <w:t xml:space="preserve"> de resolución</w:t>
            </w:r>
            <w:r>
              <w:rPr>
                <w:sz w:val="24"/>
                <w:szCs w:val="24"/>
              </w:rPr>
              <w:t xml:space="preserve"> – 2 SMLMV y vivienda VIP-</w:t>
            </w:r>
            <w:r w:rsidR="00D32E18">
              <w:rPr>
                <w:sz w:val="24"/>
                <w:szCs w:val="24"/>
              </w:rPr>
              <w:t>, deberá asumir el costo del avaluó</w:t>
            </w:r>
            <w:r w:rsidR="00355DC8">
              <w:rPr>
                <w:sz w:val="24"/>
                <w:szCs w:val="24"/>
              </w:rPr>
              <w:t>.</w:t>
            </w:r>
          </w:p>
          <w:p w14:paraId="04BB3DE0" w14:textId="77777777" w:rsidR="00CB3FDC" w:rsidRDefault="00CB3FDC" w:rsidP="003E1E17">
            <w:pPr>
              <w:jc w:val="both"/>
            </w:pPr>
          </w:p>
          <w:p w14:paraId="16E61FA5" w14:textId="05188673" w:rsidR="00F024DC" w:rsidRDefault="00FF7376" w:rsidP="009C2732">
            <w:pPr>
              <w:rPr>
                <w:sz w:val="24"/>
                <w:szCs w:val="24"/>
              </w:rPr>
            </w:pPr>
            <w:r>
              <w:rPr>
                <w:sz w:val="24"/>
                <w:szCs w:val="24"/>
              </w:rPr>
              <w:t xml:space="preserve">A la fecha el </w:t>
            </w:r>
            <w:r w:rsidRPr="00FF7376">
              <w:rPr>
                <w:sz w:val="24"/>
                <w:szCs w:val="24"/>
              </w:rPr>
              <w:t xml:space="preserve">costo </w:t>
            </w:r>
            <w:r w:rsidR="00CB3FDC">
              <w:rPr>
                <w:sz w:val="24"/>
                <w:szCs w:val="24"/>
              </w:rPr>
              <w:t xml:space="preserve">aproximado </w:t>
            </w:r>
            <w:r w:rsidRPr="00FF7376">
              <w:rPr>
                <w:sz w:val="24"/>
                <w:szCs w:val="24"/>
              </w:rPr>
              <w:t>del avalúo se encuentra en la siguiente tabla</w:t>
            </w:r>
            <w:r>
              <w:rPr>
                <w:sz w:val="24"/>
                <w:szCs w:val="24"/>
              </w:rPr>
              <w:t>:</w:t>
            </w:r>
          </w:p>
          <w:p w14:paraId="335E07C1" w14:textId="77777777" w:rsidR="008A27A7" w:rsidRDefault="008A27A7" w:rsidP="009C2732">
            <w:pPr>
              <w:rPr>
                <w:sz w:val="24"/>
                <w:szCs w:val="24"/>
              </w:rPr>
            </w:pPr>
          </w:p>
          <w:p w14:paraId="0740E15D" w14:textId="499B0D25" w:rsidR="00F024DC" w:rsidRDefault="00FF7376" w:rsidP="008A27A7">
            <w:pPr>
              <w:jc w:val="center"/>
              <w:rPr>
                <w:sz w:val="24"/>
                <w:szCs w:val="24"/>
              </w:rPr>
            </w:pPr>
            <w:r w:rsidRPr="00FF7376">
              <w:rPr>
                <w:noProof/>
                <w:sz w:val="24"/>
                <w:szCs w:val="24"/>
              </w:rPr>
              <w:drawing>
                <wp:inline distT="0" distB="0" distL="0" distR="0" wp14:anchorId="3F1640F3" wp14:editId="070DD62B">
                  <wp:extent cx="4943475" cy="1747793"/>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7956" cy="1752913"/>
                          </a:xfrm>
                          <a:prstGeom prst="rect">
                            <a:avLst/>
                          </a:prstGeom>
                          <a:noFill/>
                          <a:ln>
                            <a:noFill/>
                          </a:ln>
                        </pic:spPr>
                      </pic:pic>
                    </a:graphicData>
                  </a:graphic>
                </wp:inline>
              </w:drawing>
            </w:r>
          </w:p>
          <w:p w14:paraId="5C542C84" w14:textId="77777777" w:rsidR="00CB3FDC" w:rsidRPr="008A27A7" w:rsidRDefault="00CB3FDC" w:rsidP="00CB3FDC">
            <w:pPr>
              <w:rPr>
                <w:sz w:val="24"/>
                <w:szCs w:val="24"/>
              </w:rPr>
            </w:pPr>
          </w:p>
          <w:p w14:paraId="6F621E7E" w14:textId="1E04503D" w:rsidR="00F024DC" w:rsidRPr="00D42ED1" w:rsidRDefault="00D42ED1" w:rsidP="009C2732">
            <w:r>
              <w:t>(</w:t>
            </w:r>
            <w:r w:rsidRPr="00C90230">
              <w:rPr>
                <w:sz w:val="24"/>
                <w:szCs w:val="24"/>
              </w:rPr>
              <w:t>T</w:t>
            </w:r>
            <w:r w:rsidR="00CB3FDC" w:rsidRPr="00C90230">
              <w:rPr>
                <w:sz w:val="24"/>
                <w:szCs w:val="24"/>
              </w:rPr>
              <w:t>abla de referencia sujeta a modificación)</w:t>
            </w:r>
            <w:r w:rsidR="00CB3FDC" w:rsidRPr="00D42ED1">
              <w:t xml:space="preserve"> </w:t>
            </w:r>
          </w:p>
          <w:p w14:paraId="5F126E1F" w14:textId="36AEEA5F" w:rsidR="00CB3FDC" w:rsidRPr="002D3AB9" w:rsidRDefault="00CB3FDC" w:rsidP="009C2732">
            <w:pPr>
              <w:rPr>
                <w:color w:val="FF0000"/>
              </w:rPr>
            </w:pPr>
          </w:p>
        </w:tc>
      </w:tr>
      <w:tr w:rsidR="00A56AE8" w14:paraId="2280A0BA" w14:textId="77777777" w:rsidTr="009C2732">
        <w:trPr>
          <w:trHeight w:val="806"/>
        </w:trPr>
        <w:tc>
          <w:tcPr>
            <w:tcW w:w="8977" w:type="dxa"/>
          </w:tcPr>
          <w:p w14:paraId="5E331E40" w14:textId="4D4B1E63" w:rsidR="00A56AE8" w:rsidRPr="002D3AB9" w:rsidRDefault="00AA6BD0" w:rsidP="008A27A7">
            <w:pPr>
              <w:jc w:val="both"/>
              <w:rPr>
                <w:rFonts w:cs="Arial"/>
                <w:color w:val="FF0000"/>
                <w:sz w:val="24"/>
                <w:szCs w:val="24"/>
              </w:rPr>
            </w:pPr>
            <w:r w:rsidRPr="00D42ED1">
              <w:rPr>
                <w:rFonts w:cs="Arial"/>
                <w:b/>
                <w:sz w:val="24"/>
                <w:szCs w:val="24"/>
              </w:rPr>
              <w:t>DISPONIBILIDAD PRESUPUESTAL</w:t>
            </w:r>
            <w:r w:rsidR="008A27A7">
              <w:rPr>
                <w:rFonts w:cs="Arial"/>
                <w:b/>
                <w:color w:val="FF0000"/>
                <w:sz w:val="24"/>
                <w:szCs w:val="24"/>
              </w:rPr>
              <w:t xml:space="preserve">. </w:t>
            </w:r>
            <w:r w:rsidR="008A27A7" w:rsidRPr="008A27A7">
              <w:rPr>
                <w:rFonts w:cs="Arial"/>
                <w:sz w:val="24"/>
                <w:szCs w:val="24"/>
              </w:rPr>
              <w:t>Como el FNA</w:t>
            </w:r>
            <w:r w:rsidR="008A27A7">
              <w:rPr>
                <w:rFonts w:cs="Arial"/>
                <w:sz w:val="24"/>
                <w:szCs w:val="24"/>
              </w:rPr>
              <w:t xml:space="preserve"> asumirá </w:t>
            </w:r>
            <w:r w:rsidR="008A27A7" w:rsidRPr="008A27A7">
              <w:rPr>
                <w:rFonts w:cs="Arial"/>
                <w:sz w:val="24"/>
                <w:szCs w:val="24"/>
              </w:rPr>
              <w:t>el costo</w:t>
            </w:r>
            <w:r w:rsidR="008A27A7">
              <w:rPr>
                <w:rFonts w:cs="Arial"/>
                <w:sz w:val="24"/>
                <w:szCs w:val="24"/>
              </w:rPr>
              <w:t xml:space="preserve"> de avalúo </w:t>
            </w:r>
            <w:r w:rsidR="008A27A7" w:rsidRPr="008A27A7">
              <w:rPr>
                <w:rFonts w:cs="Arial"/>
                <w:sz w:val="24"/>
                <w:szCs w:val="24"/>
              </w:rPr>
              <w:t>para quienes acrediten hasta 2SMLMV</w:t>
            </w:r>
            <w:r w:rsidR="008A27A7">
              <w:rPr>
                <w:rFonts w:cs="Arial"/>
                <w:sz w:val="24"/>
                <w:szCs w:val="24"/>
              </w:rPr>
              <w:t xml:space="preserve"> de ingreso</w:t>
            </w:r>
            <w:r w:rsidR="008A27A7" w:rsidRPr="008A27A7">
              <w:rPr>
                <w:rFonts w:cs="Arial"/>
                <w:sz w:val="24"/>
                <w:szCs w:val="24"/>
              </w:rPr>
              <w:t xml:space="preserve"> para aprobación y adquieran vivienda VIP</w:t>
            </w:r>
            <w:r w:rsidR="008A27A7">
              <w:rPr>
                <w:rFonts w:cs="Arial"/>
                <w:sz w:val="24"/>
                <w:szCs w:val="24"/>
              </w:rPr>
              <w:t xml:space="preserve">, el presupuesto destinado de acuerdo con </w:t>
            </w:r>
            <w:r w:rsidR="008A27A7" w:rsidRPr="008A27A7">
              <w:rPr>
                <w:rFonts w:cs="Arial"/>
                <w:sz w:val="24"/>
                <w:szCs w:val="24"/>
              </w:rPr>
              <w:t>sesión de carácter ordinario</w:t>
            </w:r>
            <w:r w:rsidR="00010E34">
              <w:rPr>
                <w:rFonts w:cs="Arial"/>
                <w:sz w:val="24"/>
                <w:szCs w:val="24"/>
              </w:rPr>
              <w:t xml:space="preserve"> de la </w:t>
            </w:r>
            <w:r w:rsidR="00010E34" w:rsidRPr="00010E34">
              <w:rPr>
                <w:rFonts w:cs="Arial"/>
                <w:sz w:val="24"/>
                <w:szCs w:val="24"/>
              </w:rPr>
              <w:t xml:space="preserve">Junta Directiva </w:t>
            </w:r>
            <w:r w:rsidR="00A95E4E">
              <w:rPr>
                <w:rFonts w:cs="Arial"/>
                <w:sz w:val="24"/>
                <w:szCs w:val="24"/>
              </w:rPr>
              <w:t>del FNA llevada a cabo el</w:t>
            </w:r>
            <w:r w:rsidR="008A27A7" w:rsidRPr="008A27A7">
              <w:rPr>
                <w:rFonts w:cs="Arial"/>
                <w:sz w:val="24"/>
                <w:szCs w:val="24"/>
              </w:rPr>
              <w:t xml:space="preserve"> 28 de marzo de 2019 del</w:t>
            </w:r>
            <w:r w:rsidR="00A95E4E">
              <w:rPr>
                <w:rFonts w:cs="Arial"/>
                <w:sz w:val="24"/>
                <w:szCs w:val="24"/>
              </w:rPr>
              <w:t xml:space="preserve"> </w:t>
            </w:r>
            <w:r w:rsidR="008A27A7">
              <w:rPr>
                <w:rFonts w:cs="Arial"/>
                <w:sz w:val="24"/>
                <w:szCs w:val="24"/>
              </w:rPr>
              <w:t>será de $1.300 millones de pesos del rubro legalización de crédito.</w:t>
            </w:r>
          </w:p>
          <w:p w14:paraId="5F2B7DA9" w14:textId="77777777" w:rsidR="00D41EE3" w:rsidRPr="002D3AB9" w:rsidRDefault="00D41EE3" w:rsidP="009C2732">
            <w:pPr>
              <w:rPr>
                <w:color w:val="FF0000"/>
              </w:rPr>
            </w:pPr>
          </w:p>
        </w:tc>
      </w:tr>
      <w:tr w:rsidR="00A56AE8" w14:paraId="693EE728" w14:textId="77777777" w:rsidTr="009C2732">
        <w:trPr>
          <w:trHeight w:val="806"/>
        </w:trPr>
        <w:tc>
          <w:tcPr>
            <w:tcW w:w="8977" w:type="dxa"/>
          </w:tcPr>
          <w:p w14:paraId="3BA2BB5D" w14:textId="77777777" w:rsidR="00A56AE8" w:rsidRDefault="00AA6BD0" w:rsidP="009C2732">
            <w:pPr>
              <w:rPr>
                <w:rFonts w:cs="Arial"/>
                <w:sz w:val="24"/>
                <w:szCs w:val="24"/>
              </w:rPr>
            </w:pPr>
            <w:r w:rsidRPr="008A563D">
              <w:rPr>
                <w:rFonts w:cs="Arial"/>
                <w:b/>
                <w:sz w:val="24"/>
                <w:szCs w:val="24"/>
              </w:rPr>
              <w:lastRenderedPageBreak/>
              <w:t>IMPACTO MEDIOAMBIENTAL O SOBRE EL PATRIMONIO CULTURAL DE LA NACIÓN</w:t>
            </w:r>
            <w:r w:rsidR="0021642F">
              <w:rPr>
                <w:rFonts w:cs="Arial"/>
                <w:b/>
                <w:sz w:val="24"/>
                <w:szCs w:val="24"/>
              </w:rPr>
              <w:t xml:space="preserve">. </w:t>
            </w:r>
            <w:r w:rsidR="0021642F" w:rsidRPr="0021642F">
              <w:rPr>
                <w:rFonts w:cs="Arial"/>
                <w:sz w:val="24"/>
                <w:szCs w:val="24"/>
              </w:rPr>
              <w:t>No aplica</w:t>
            </w:r>
          </w:p>
          <w:p w14:paraId="6CFAB6AC" w14:textId="77777777" w:rsidR="00D41EE3" w:rsidRDefault="00D41EE3" w:rsidP="009C2732"/>
        </w:tc>
      </w:tr>
      <w:tr w:rsidR="00A56AE8" w14:paraId="30F789BB" w14:textId="77777777" w:rsidTr="009C2732">
        <w:trPr>
          <w:trHeight w:val="1085"/>
        </w:trPr>
        <w:tc>
          <w:tcPr>
            <w:tcW w:w="8977" w:type="dxa"/>
          </w:tcPr>
          <w:p w14:paraId="2D36E158" w14:textId="77777777" w:rsidR="00D41EE3" w:rsidRDefault="00D41EE3" w:rsidP="009C2732">
            <w:pPr>
              <w:rPr>
                <w:rFonts w:cs="Arial"/>
                <w:b/>
                <w:sz w:val="24"/>
                <w:szCs w:val="24"/>
              </w:rPr>
            </w:pPr>
          </w:p>
          <w:p w14:paraId="2D6FB174" w14:textId="4360BA82" w:rsidR="00C65C5D" w:rsidRDefault="00AA6BD0" w:rsidP="00B076D5">
            <w:pPr>
              <w:jc w:val="both"/>
            </w:pPr>
            <w:r w:rsidRPr="008A563D">
              <w:rPr>
                <w:rFonts w:cs="Arial"/>
                <w:b/>
                <w:sz w:val="24"/>
                <w:szCs w:val="24"/>
              </w:rPr>
              <w:t>CUMPLIMIENTO DE LOS REQUISITOS DE CONSULTA Y PUBLICIDAD</w:t>
            </w:r>
            <w:r w:rsidR="00C90230">
              <w:rPr>
                <w:rFonts w:cs="Arial"/>
                <w:b/>
                <w:sz w:val="24"/>
                <w:szCs w:val="24"/>
              </w:rPr>
              <w:t>:</w:t>
            </w:r>
          </w:p>
        </w:tc>
      </w:tr>
      <w:tr w:rsidR="00A971D7" w14:paraId="71558BDA" w14:textId="77777777" w:rsidTr="009C2732">
        <w:trPr>
          <w:trHeight w:val="701"/>
        </w:trPr>
        <w:tc>
          <w:tcPr>
            <w:tcW w:w="8977" w:type="dxa"/>
          </w:tcPr>
          <w:p w14:paraId="236B9590" w14:textId="45C74EDC" w:rsidR="00A971D7" w:rsidRDefault="00D460FA" w:rsidP="009C2732">
            <w:pPr>
              <w:rPr>
                <w:rFonts w:cs="Arial"/>
                <w:b/>
                <w:sz w:val="24"/>
                <w:szCs w:val="24"/>
              </w:rPr>
            </w:pPr>
            <w:r>
              <w:rPr>
                <w:rFonts w:cs="Arial"/>
                <w:b/>
                <w:sz w:val="24"/>
                <w:szCs w:val="24"/>
              </w:rPr>
              <w:t>COMENTARIOS DE LOS CIUDADANOS</w:t>
            </w:r>
            <w:r w:rsidR="004F7BFB">
              <w:rPr>
                <w:rFonts w:cs="Arial"/>
                <w:b/>
                <w:sz w:val="24"/>
                <w:szCs w:val="24"/>
              </w:rPr>
              <w:t xml:space="preserve">. </w:t>
            </w:r>
            <w:r w:rsidR="00F024DC">
              <w:rPr>
                <w:rFonts w:cs="Arial"/>
                <w:b/>
                <w:sz w:val="24"/>
                <w:szCs w:val="24"/>
              </w:rPr>
              <w:t xml:space="preserve"> </w:t>
            </w:r>
          </w:p>
        </w:tc>
      </w:tr>
      <w:tr w:rsidR="00A56AE8" w14:paraId="24BC7642" w14:textId="77777777" w:rsidTr="009C2732">
        <w:trPr>
          <w:trHeight w:val="279"/>
        </w:trPr>
        <w:tc>
          <w:tcPr>
            <w:tcW w:w="8977" w:type="dxa"/>
          </w:tcPr>
          <w:p w14:paraId="79E32287" w14:textId="1CFA040F" w:rsidR="00A56AE8" w:rsidRDefault="00AA6BD0" w:rsidP="009C2732">
            <w:pPr>
              <w:jc w:val="both"/>
              <w:rPr>
                <w:rFonts w:cs="Arial"/>
                <w:sz w:val="24"/>
                <w:szCs w:val="24"/>
                <w:lang w:bidi="he-IL"/>
              </w:rPr>
            </w:pPr>
            <w:r w:rsidRPr="008A563D">
              <w:rPr>
                <w:rFonts w:cs="Arial"/>
                <w:b/>
                <w:sz w:val="24"/>
                <w:szCs w:val="24"/>
              </w:rPr>
              <w:t>ASPECTOS ADICIONALES IMPORTANTES</w:t>
            </w:r>
            <w:r>
              <w:rPr>
                <w:rFonts w:cs="Arial"/>
                <w:b/>
                <w:sz w:val="24"/>
                <w:szCs w:val="24"/>
              </w:rPr>
              <w:t>:</w:t>
            </w:r>
          </w:p>
          <w:p w14:paraId="19B08A75" w14:textId="77777777" w:rsidR="00F024DC" w:rsidRDefault="00F024DC" w:rsidP="009C2732">
            <w:pPr>
              <w:jc w:val="both"/>
            </w:pPr>
          </w:p>
        </w:tc>
      </w:tr>
      <w:tr w:rsidR="00163713" w14:paraId="601061F4" w14:textId="77777777" w:rsidTr="009C2732">
        <w:trPr>
          <w:trHeight w:val="2000"/>
        </w:trPr>
        <w:tc>
          <w:tcPr>
            <w:tcW w:w="8977" w:type="dxa"/>
          </w:tcPr>
          <w:p w14:paraId="6D118DF4" w14:textId="77777777" w:rsidR="00163713" w:rsidRDefault="00163713" w:rsidP="009C2732">
            <w:pPr>
              <w:jc w:val="both"/>
              <w:rPr>
                <w:rFonts w:cs="Arial"/>
                <w:b/>
                <w:sz w:val="24"/>
                <w:szCs w:val="24"/>
              </w:rPr>
            </w:pPr>
          </w:p>
          <w:p w14:paraId="557FAA86" w14:textId="77777777" w:rsidR="00163713" w:rsidRDefault="00163713" w:rsidP="009C2732">
            <w:pPr>
              <w:jc w:val="both"/>
              <w:rPr>
                <w:rFonts w:cs="Arial"/>
                <w:sz w:val="24"/>
                <w:szCs w:val="24"/>
              </w:rPr>
            </w:pPr>
            <w:r w:rsidRPr="008A563D">
              <w:rPr>
                <w:rFonts w:cs="Arial"/>
                <w:b/>
                <w:sz w:val="24"/>
                <w:szCs w:val="24"/>
              </w:rPr>
              <w:t>IMPACTO QUE TENDRÁ EN LA SEGURIDAD JURÍDICA</w:t>
            </w:r>
            <w:r w:rsidR="00FA5FBB">
              <w:rPr>
                <w:rFonts w:cs="Arial"/>
                <w:b/>
                <w:sz w:val="24"/>
                <w:szCs w:val="24"/>
              </w:rPr>
              <w:t xml:space="preserve">: </w:t>
            </w:r>
            <w:r w:rsidR="00FA5FBB" w:rsidRPr="008A563D">
              <w:rPr>
                <w:rFonts w:cs="Arial"/>
                <w:sz w:val="24"/>
                <w:szCs w:val="24"/>
              </w:rPr>
              <w:t>En caso de que dentro del año inmediatamente anterior ya se hubiere reglamentado la misma materia</w:t>
            </w:r>
            <w:r w:rsidR="00FA5FBB">
              <w:rPr>
                <w:rFonts w:cs="Arial"/>
                <w:sz w:val="24"/>
                <w:szCs w:val="24"/>
              </w:rPr>
              <w:t>.</w:t>
            </w:r>
          </w:p>
          <w:p w14:paraId="1DBDAB47" w14:textId="77777777" w:rsidR="00FA5FBB" w:rsidRDefault="00FA5FBB" w:rsidP="00202777">
            <w:pPr>
              <w:jc w:val="both"/>
              <w:rPr>
                <w:rFonts w:cs="Arial"/>
                <w:sz w:val="24"/>
                <w:szCs w:val="24"/>
              </w:rPr>
            </w:pPr>
          </w:p>
          <w:p w14:paraId="1060790B" w14:textId="77777777" w:rsidR="00F024DC" w:rsidRPr="00202777" w:rsidRDefault="00F024DC" w:rsidP="00202777">
            <w:pPr>
              <w:jc w:val="both"/>
              <w:rPr>
                <w:rFonts w:cs="Arial"/>
                <w:sz w:val="24"/>
                <w:szCs w:val="24"/>
              </w:rPr>
            </w:pPr>
            <w:r>
              <w:rPr>
                <w:rFonts w:cs="Arial"/>
                <w:sz w:val="24"/>
                <w:szCs w:val="24"/>
              </w:rPr>
              <w:t>No aplica. La resolución derogada es del 2016</w:t>
            </w:r>
          </w:p>
        </w:tc>
      </w:tr>
      <w:tr w:rsidR="00A971D7" w14:paraId="3C34AA4B" w14:textId="77777777" w:rsidTr="009C2732">
        <w:trPr>
          <w:trHeight w:val="1220"/>
        </w:trPr>
        <w:tc>
          <w:tcPr>
            <w:tcW w:w="8977" w:type="dxa"/>
          </w:tcPr>
          <w:p w14:paraId="6F8AA800" w14:textId="77777777" w:rsidR="00A971D7" w:rsidRDefault="00A971D7" w:rsidP="009C2732">
            <w:pPr>
              <w:jc w:val="both"/>
              <w:rPr>
                <w:rFonts w:cs="Arial"/>
                <w:b/>
                <w:sz w:val="24"/>
                <w:szCs w:val="24"/>
              </w:rPr>
            </w:pPr>
          </w:p>
          <w:p w14:paraId="355C0A73" w14:textId="70F5B3A7" w:rsidR="00F024DC" w:rsidRPr="00F024DC" w:rsidRDefault="00B40091" w:rsidP="009C2732">
            <w:pPr>
              <w:jc w:val="both"/>
              <w:rPr>
                <w:rFonts w:cs="Arial"/>
                <w:sz w:val="24"/>
                <w:szCs w:val="24"/>
              </w:rPr>
            </w:pPr>
            <w:r>
              <w:rPr>
                <w:rFonts w:cs="Arial"/>
                <w:b/>
                <w:sz w:val="24"/>
                <w:szCs w:val="24"/>
              </w:rPr>
              <w:t xml:space="preserve">CONCEPTO DE LA FUNCIÓN PUBLICA – PARA TRÁMITES-. </w:t>
            </w:r>
          </w:p>
          <w:p w14:paraId="2709C0C2" w14:textId="77777777" w:rsidR="00F024DC" w:rsidRDefault="00F024DC" w:rsidP="009C2732">
            <w:pPr>
              <w:jc w:val="both"/>
              <w:rPr>
                <w:rFonts w:cs="Arial"/>
                <w:b/>
                <w:sz w:val="24"/>
                <w:szCs w:val="24"/>
              </w:rPr>
            </w:pPr>
          </w:p>
        </w:tc>
      </w:tr>
    </w:tbl>
    <w:p w14:paraId="4B75D497" w14:textId="77777777" w:rsidR="00615C52" w:rsidRDefault="00615C52"/>
    <w:p w14:paraId="02697A6D" w14:textId="77777777" w:rsidR="008516AF" w:rsidRDefault="008516AF"/>
    <w:p w14:paraId="238A6BB6" w14:textId="77777777" w:rsidR="008516AF" w:rsidRDefault="008516AF">
      <w:pPr>
        <w:rPr>
          <w:sz w:val="24"/>
          <w:szCs w:val="24"/>
        </w:rPr>
      </w:pPr>
    </w:p>
    <w:p w14:paraId="1052DCDF" w14:textId="77777777" w:rsidR="00DB3E1E" w:rsidRPr="008516AF" w:rsidRDefault="00DB3E1E">
      <w:pPr>
        <w:rPr>
          <w:sz w:val="24"/>
          <w:szCs w:val="24"/>
        </w:rPr>
      </w:pPr>
    </w:p>
    <w:p w14:paraId="55F00085" w14:textId="77777777" w:rsidR="008516AF" w:rsidRPr="008516AF" w:rsidRDefault="008516AF">
      <w:pPr>
        <w:rPr>
          <w:sz w:val="24"/>
          <w:szCs w:val="24"/>
        </w:rPr>
      </w:pPr>
    </w:p>
    <w:sectPr w:rsidR="008516AF" w:rsidRPr="008516AF" w:rsidSect="00615C52">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155AD" w14:textId="77777777" w:rsidR="002F7522" w:rsidRDefault="002F7522" w:rsidP="00143CFA">
      <w:r>
        <w:separator/>
      </w:r>
    </w:p>
  </w:endnote>
  <w:endnote w:type="continuationSeparator" w:id="0">
    <w:p w14:paraId="1133981A" w14:textId="77777777" w:rsidR="002F7522" w:rsidRDefault="002F7522" w:rsidP="0014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Wilke">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BB526" w14:textId="77777777" w:rsidR="002F7522" w:rsidRDefault="002F7522" w:rsidP="00143CFA">
      <w:r>
        <w:separator/>
      </w:r>
    </w:p>
  </w:footnote>
  <w:footnote w:type="continuationSeparator" w:id="0">
    <w:p w14:paraId="230ACD91" w14:textId="77777777" w:rsidR="002F7522" w:rsidRDefault="002F7522" w:rsidP="0014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291D5" w14:textId="77777777" w:rsidR="009C2732" w:rsidRDefault="009C2732">
    <w:pPr>
      <w:pStyle w:val="Encabezado"/>
    </w:pPr>
    <w:r>
      <w:rPr>
        <w:noProof/>
      </w:rPr>
      <w:drawing>
        <wp:anchor distT="0" distB="0" distL="114300" distR="114300" simplePos="0" relativeHeight="251658240" behindDoc="1" locked="0" layoutInCell="1" allowOverlap="1" wp14:anchorId="01CC6D0F" wp14:editId="1A807CCB">
          <wp:simplePos x="0" y="0"/>
          <wp:positionH relativeFrom="margin">
            <wp:posOffset>3806190</wp:posOffset>
          </wp:positionH>
          <wp:positionV relativeFrom="paragraph">
            <wp:posOffset>-287655</wp:posOffset>
          </wp:positionV>
          <wp:extent cx="2493010" cy="790575"/>
          <wp:effectExtent l="0" t="0" r="0" b="9525"/>
          <wp:wrapNone/>
          <wp:docPr id="1" name="Imagen 1" descr="../EXPORTE/OT%23%201006%20Inventario%20de%20Certificados%2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XPORTE/OT%23%201006%20Inventario%20de%20Certificados%20-07.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9301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014E2D" w14:textId="77777777" w:rsidR="009C2732" w:rsidRDefault="009C2732">
    <w:pPr>
      <w:pStyle w:val="Encabezado"/>
    </w:pPr>
  </w:p>
  <w:p w14:paraId="2B20FE39" w14:textId="77777777" w:rsidR="009C2732" w:rsidRDefault="009C2732">
    <w:pPr>
      <w:pStyle w:val="Encabezado"/>
    </w:pPr>
  </w:p>
  <w:p w14:paraId="2BC59D83" w14:textId="77777777" w:rsidR="009C2732" w:rsidRDefault="009C27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4575C"/>
    <w:multiLevelType w:val="hybridMultilevel"/>
    <w:tmpl w:val="70F28A7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 w15:restartNumberingAfterBreak="0">
    <w:nsid w:val="319D1E13"/>
    <w:multiLevelType w:val="hybridMultilevel"/>
    <w:tmpl w:val="CFDA8552"/>
    <w:lvl w:ilvl="0" w:tplc="1220A32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BAB4263"/>
    <w:multiLevelType w:val="hybridMultilevel"/>
    <w:tmpl w:val="D9AAFE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8D"/>
    <w:rsid w:val="00005182"/>
    <w:rsid w:val="00010E34"/>
    <w:rsid w:val="00021B3C"/>
    <w:rsid w:val="00071DE6"/>
    <w:rsid w:val="0008483B"/>
    <w:rsid w:val="00086658"/>
    <w:rsid w:val="00086DEF"/>
    <w:rsid w:val="00087721"/>
    <w:rsid w:val="0009232C"/>
    <w:rsid w:val="000F4094"/>
    <w:rsid w:val="00126DC0"/>
    <w:rsid w:val="00143CFA"/>
    <w:rsid w:val="00163713"/>
    <w:rsid w:val="001F7234"/>
    <w:rsid w:val="00202777"/>
    <w:rsid w:val="00211908"/>
    <w:rsid w:val="0021642F"/>
    <w:rsid w:val="0023348A"/>
    <w:rsid w:val="00234935"/>
    <w:rsid w:val="002734B4"/>
    <w:rsid w:val="00274CB3"/>
    <w:rsid w:val="00283BEE"/>
    <w:rsid w:val="00296C8F"/>
    <w:rsid w:val="002A6F95"/>
    <w:rsid w:val="002B52D6"/>
    <w:rsid w:val="002D3AB9"/>
    <w:rsid w:val="002F5EFD"/>
    <w:rsid w:val="002F7522"/>
    <w:rsid w:val="00333246"/>
    <w:rsid w:val="0033481C"/>
    <w:rsid w:val="00335DCF"/>
    <w:rsid w:val="00336FB2"/>
    <w:rsid w:val="00337786"/>
    <w:rsid w:val="003415E1"/>
    <w:rsid w:val="00355DC8"/>
    <w:rsid w:val="0036574C"/>
    <w:rsid w:val="003A07B5"/>
    <w:rsid w:val="003A568B"/>
    <w:rsid w:val="003E1E17"/>
    <w:rsid w:val="004024EB"/>
    <w:rsid w:val="00440732"/>
    <w:rsid w:val="004507A0"/>
    <w:rsid w:val="00472E44"/>
    <w:rsid w:val="00496C2E"/>
    <w:rsid w:val="004B06FD"/>
    <w:rsid w:val="004D14B2"/>
    <w:rsid w:val="004D2607"/>
    <w:rsid w:val="004E713D"/>
    <w:rsid w:val="004F79F8"/>
    <w:rsid w:val="004F7BFB"/>
    <w:rsid w:val="005203A3"/>
    <w:rsid w:val="00557544"/>
    <w:rsid w:val="005902B8"/>
    <w:rsid w:val="005A63B2"/>
    <w:rsid w:val="00615C52"/>
    <w:rsid w:val="00691602"/>
    <w:rsid w:val="006B3A17"/>
    <w:rsid w:val="006F26C0"/>
    <w:rsid w:val="00725341"/>
    <w:rsid w:val="00726FC5"/>
    <w:rsid w:val="0077692F"/>
    <w:rsid w:val="00783B7F"/>
    <w:rsid w:val="007913FA"/>
    <w:rsid w:val="00797504"/>
    <w:rsid w:val="00797689"/>
    <w:rsid w:val="007977EC"/>
    <w:rsid w:val="007E300B"/>
    <w:rsid w:val="008516AF"/>
    <w:rsid w:val="00883F55"/>
    <w:rsid w:val="00893213"/>
    <w:rsid w:val="00894A8D"/>
    <w:rsid w:val="008A27A7"/>
    <w:rsid w:val="008B3C6C"/>
    <w:rsid w:val="00974BC6"/>
    <w:rsid w:val="009943CE"/>
    <w:rsid w:val="009A0DA1"/>
    <w:rsid w:val="009A4994"/>
    <w:rsid w:val="009A6494"/>
    <w:rsid w:val="009C2732"/>
    <w:rsid w:val="009C2C35"/>
    <w:rsid w:val="00A13EA8"/>
    <w:rsid w:val="00A31A6D"/>
    <w:rsid w:val="00A54444"/>
    <w:rsid w:val="00A56AE8"/>
    <w:rsid w:val="00A57554"/>
    <w:rsid w:val="00A57862"/>
    <w:rsid w:val="00A66EFE"/>
    <w:rsid w:val="00A747EB"/>
    <w:rsid w:val="00A95E4E"/>
    <w:rsid w:val="00A965D8"/>
    <w:rsid w:val="00A971D7"/>
    <w:rsid w:val="00AA6BD0"/>
    <w:rsid w:val="00AC6A7E"/>
    <w:rsid w:val="00B076D5"/>
    <w:rsid w:val="00B2436C"/>
    <w:rsid w:val="00B40091"/>
    <w:rsid w:val="00B6754B"/>
    <w:rsid w:val="00BE2D29"/>
    <w:rsid w:val="00C0667D"/>
    <w:rsid w:val="00C168A3"/>
    <w:rsid w:val="00C3175A"/>
    <w:rsid w:val="00C3361D"/>
    <w:rsid w:val="00C33D66"/>
    <w:rsid w:val="00C65C5D"/>
    <w:rsid w:val="00C90230"/>
    <w:rsid w:val="00CA57DD"/>
    <w:rsid w:val="00CB3FDC"/>
    <w:rsid w:val="00CC30A9"/>
    <w:rsid w:val="00CD06A4"/>
    <w:rsid w:val="00CE4B4D"/>
    <w:rsid w:val="00D155AF"/>
    <w:rsid w:val="00D32E18"/>
    <w:rsid w:val="00D41EE3"/>
    <w:rsid w:val="00D42ED1"/>
    <w:rsid w:val="00D460FA"/>
    <w:rsid w:val="00D56182"/>
    <w:rsid w:val="00D82992"/>
    <w:rsid w:val="00D91822"/>
    <w:rsid w:val="00DB1E06"/>
    <w:rsid w:val="00DB3E1E"/>
    <w:rsid w:val="00DD05AF"/>
    <w:rsid w:val="00DD18F2"/>
    <w:rsid w:val="00DD3C0C"/>
    <w:rsid w:val="00E5024A"/>
    <w:rsid w:val="00E564EE"/>
    <w:rsid w:val="00E573DA"/>
    <w:rsid w:val="00EC5DBC"/>
    <w:rsid w:val="00EC72CE"/>
    <w:rsid w:val="00ED704A"/>
    <w:rsid w:val="00ED71E6"/>
    <w:rsid w:val="00EE3EC4"/>
    <w:rsid w:val="00F024DC"/>
    <w:rsid w:val="00F62022"/>
    <w:rsid w:val="00F87046"/>
    <w:rsid w:val="00FA5FBB"/>
    <w:rsid w:val="00FD3B2A"/>
    <w:rsid w:val="00FF066D"/>
    <w:rsid w:val="00FF1E8D"/>
    <w:rsid w:val="00FF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3EC0C"/>
  <w15:docId w15:val="{1FE6196D-9A48-4775-BFF6-1779099B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E8D"/>
    <w:pPr>
      <w:spacing w:after="0" w:line="240" w:lineRule="auto"/>
    </w:pPr>
    <w:rPr>
      <w:rFonts w:ascii="Arial" w:eastAsia="Times New Roman" w:hAnsi="Arial" w:cs="Times New Roman"/>
      <w:sz w:val="20"/>
      <w:szCs w:val="20"/>
      <w:lang w:val="es-ES" w:eastAsia="es-ES"/>
    </w:rPr>
  </w:style>
  <w:style w:type="paragraph" w:styleId="Ttulo2">
    <w:name w:val="heading 2"/>
    <w:basedOn w:val="Normal"/>
    <w:next w:val="Normal"/>
    <w:link w:val="Ttulo2Car"/>
    <w:qFormat/>
    <w:rsid w:val="00FF1E8D"/>
    <w:pPr>
      <w:keepNext/>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F1E8D"/>
    <w:rPr>
      <w:rFonts w:ascii="Arial" w:eastAsia="Times New Roman" w:hAnsi="Arial" w:cs="Times New Roman"/>
      <w:b/>
      <w:sz w:val="20"/>
      <w:szCs w:val="20"/>
      <w:lang w:val="es-ES" w:eastAsia="es-ES"/>
    </w:rPr>
  </w:style>
  <w:style w:type="paragraph" w:styleId="Prrafodelista">
    <w:name w:val="List Paragraph"/>
    <w:basedOn w:val="Normal"/>
    <w:link w:val="PrrafodelistaCar"/>
    <w:uiPriority w:val="34"/>
    <w:qFormat/>
    <w:rsid w:val="00557544"/>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basedOn w:val="Fuentedeprrafopredeter"/>
    <w:link w:val="Prrafodelista"/>
    <w:uiPriority w:val="34"/>
    <w:locked/>
    <w:rsid w:val="00557544"/>
    <w:rPr>
      <w:rFonts w:ascii="Calibri" w:eastAsia="Calibri" w:hAnsi="Calibri" w:cs="Times New Roman"/>
      <w:lang w:val="es-CO"/>
    </w:rPr>
  </w:style>
  <w:style w:type="paragraph" w:styleId="NormalWeb">
    <w:name w:val="Normal (Web)"/>
    <w:basedOn w:val="Normal"/>
    <w:uiPriority w:val="99"/>
    <w:rsid w:val="00557544"/>
    <w:pPr>
      <w:spacing w:before="100" w:beforeAutospacing="1" w:after="100" w:afterAutospacing="1"/>
    </w:pPr>
    <w:rPr>
      <w:rFonts w:ascii="Arial Unicode MS" w:eastAsia="Arial Unicode MS" w:hAnsi="Arial Unicode MS" w:cs="Arial Unicode MS"/>
      <w:sz w:val="24"/>
      <w:szCs w:val="24"/>
    </w:rPr>
  </w:style>
  <w:style w:type="character" w:customStyle="1" w:styleId="TextonotapieCar">
    <w:name w:val="Texto nota pie Car"/>
    <w:aliases w:val="Footnote Text Char Char Char Char Char Car,Footnote Text Char Char Char Char Car,Footnote reference Car,FA Fu Car,texto de nota al pie Car,Footnote Text Char Car Car,Texto nota pie Car Car Car,texto de nota al pie Car Car Car,Car Car"/>
    <w:basedOn w:val="Fuentedeprrafopredeter"/>
    <w:link w:val="Textonotapie"/>
    <w:semiHidden/>
    <w:locked/>
    <w:rsid w:val="00143CFA"/>
    <w:rPr>
      <w:rFonts w:ascii="Arial" w:hAnsi="Arial" w:cs="Arial"/>
      <w:color w:val="000000"/>
      <w:lang w:eastAsia="es-MX"/>
    </w:rPr>
  </w:style>
  <w:style w:type="paragraph" w:styleId="Textonotapie">
    <w:name w:val="footnote text"/>
    <w:aliases w:val="Footnote Text Char Char Char Char Char,Footnote Text Char Char Char Char,Footnote reference,FA Fu,texto de nota al pie,Footnote Text Char Car,Texto nota pie Car Car,texto de nota al pie Car Car,ft Car Car Car,Car,ft"/>
    <w:basedOn w:val="Normal"/>
    <w:link w:val="TextonotapieCar"/>
    <w:semiHidden/>
    <w:unhideWhenUsed/>
    <w:rsid w:val="00143CFA"/>
    <w:rPr>
      <w:rFonts w:eastAsiaTheme="minorHAnsi" w:cs="Arial"/>
      <w:color w:val="000000"/>
      <w:sz w:val="22"/>
      <w:szCs w:val="22"/>
      <w:lang w:val="en-US" w:eastAsia="es-MX"/>
    </w:rPr>
  </w:style>
  <w:style w:type="character" w:customStyle="1" w:styleId="TextonotapieCar1">
    <w:name w:val="Texto nota pie Car1"/>
    <w:basedOn w:val="Fuentedeprrafopredeter"/>
    <w:uiPriority w:val="99"/>
    <w:semiHidden/>
    <w:rsid w:val="00143CFA"/>
    <w:rPr>
      <w:rFonts w:ascii="Arial" w:eastAsia="Times New Roman" w:hAnsi="Arial" w:cs="Times New Roman"/>
      <w:sz w:val="20"/>
      <w:szCs w:val="20"/>
      <w:lang w:val="es-ES" w:eastAsia="es-ES"/>
    </w:rPr>
  </w:style>
  <w:style w:type="character" w:styleId="Refdenotaalpie">
    <w:name w:val="footnote reference"/>
    <w:aliases w:val="referencia nota al pie,Texto de nota al pie,Nota de pie,Texto nota al pie,Appel note de bas de page"/>
    <w:basedOn w:val="Fuentedeprrafopredeter"/>
    <w:uiPriority w:val="99"/>
    <w:semiHidden/>
    <w:unhideWhenUsed/>
    <w:rsid w:val="00143CFA"/>
    <w:rPr>
      <w:vertAlign w:val="superscript"/>
    </w:rPr>
  </w:style>
  <w:style w:type="paragraph" w:styleId="Encabezado">
    <w:name w:val="header"/>
    <w:basedOn w:val="Normal"/>
    <w:link w:val="EncabezadoCar"/>
    <w:unhideWhenUsed/>
    <w:rsid w:val="009C2732"/>
    <w:pPr>
      <w:tabs>
        <w:tab w:val="center" w:pos="4419"/>
        <w:tab w:val="right" w:pos="8838"/>
      </w:tabs>
    </w:pPr>
  </w:style>
  <w:style w:type="character" w:customStyle="1" w:styleId="EncabezadoCar">
    <w:name w:val="Encabezado Car"/>
    <w:basedOn w:val="Fuentedeprrafopredeter"/>
    <w:link w:val="Encabezado"/>
    <w:rsid w:val="009C2732"/>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9C2732"/>
    <w:pPr>
      <w:tabs>
        <w:tab w:val="center" w:pos="4419"/>
        <w:tab w:val="right" w:pos="8838"/>
      </w:tabs>
    </w:pPr>
  </w:style>
  <w:style w:type="character" w:customStyle="1" w:styleId="PiedepginaCar">
    <w:name w:val="Pie de página Car"/>
    <w:basedOn w:val="Fuentedeprrafopredeter"/>
    <w:link w:val="Piedepgina"/>
    <w:uiPriority w:val="99"/>
    <w:rsid w:val="009C2732"/>
    <w:rPr>
      <w:rFonts w:ascii="Arial" w:eastAsia="Times New Roman" w:hAnsi="Arial" w:cs="Times New Roman"/>
      <w:sz w:val="20"/>
      <w:szCs w:val="20"/>
      <w:lang w:val="es-ES" w:eastAsia="es-ES"/>
    </w:rPr>
  </w:style>
  <w:style w:type="character" w:styleId="Hipervnculo">
    <w:name w:val="Hyperlink"/>
    <w:basedOn w:val="Fuentedeprrafopredeter"/>
    <w:uiPriority w:val="99"/>
    <w:unhideWhenUsed/>
    <w:rsid w:val="003E1E17"/>
    <w:rPr>
      <w:color w:val="0000FF" w:themeColor="hyperlink"/>
      <w:u w:val="single"/>
    </w:rPr>
  </w:style>
  <w:style w:type="character" w:styleId="Mencinsinresolver">
    <w:name w:val="Unresolved Mention"/>
    <w:basedOn w:val="Fuentedeprrafopredeter"/>
    <w:uiPriority w:val="99"/>
    <w:semiHidden/>
    <w:unhideWhenUsed/>
    <w:rsid w:val="003E1E17"/>
    <w:rPr>
      <w:color w:val="605E5C"/>
      <w:shd w:val="clear" w:color="auto" w:fill="E1DFDD"/>
    </w:rPr>
  </w:style>
  <w:style w:type="paragraph" w:styleId="Textodeglobo">
    <w:name w:val="Balloon Text"/>
    <w:basedOn w:val="Normal"/>
    <w:link w:val="TextodegloboCar"/>
    <w:uiPriority w:val="99"/>
    <w:semiHidden/>
    <w:unhideWhenUsed/>
    <w:rsid w:val="00CE4B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B4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098666">
      <w:bodyDiv w:val="1"/>
      <w:marLeft w:val="0"/>
      <w:marRight w:val="0"/>
      <w:marTop w:val="0"/>
      <w:marBottom w:val="0"/>
      <w:divBdr>
        <w:top w:val="none" w:sz="0" w:space="0" w:color="auto"/>
        <w:left w:val="none" w:sz="0" w:space="0" w:color="auto"/>
        <w:bottom w:val="none" w:sz="0" w:space="0" w:color="auto"/>
        <w:right w:val="none" w:sz="0" w:space="0" w:color="auto"/>
      </w:divBdr>
    </w:div>
    <w:div w:id="1042484179">
      <w:bodyDiv w:val="1"/>
      <w:marLeft w:val="0"/>
      <w:marRight w:val="0"/>
      <w:marTop w:val="0"/>
      <w:marBottom w:val="0"/>
      <w:divBdr>
        <w:top w:val="none" w:sz="0" w:space="0" w:color="auto"/>
        <w:left w:val="none" w:sz="0" w:space="0" w:color="auto"/>
        <w:bottom w:val="none" w:sz="0" w:space="0" w:color="auto"/>
        <w:right w:val="none" w:sz="0" w:space="0" w:color="auto"/>
      </w:divBdr>
    </w:div>
    <w:div w:id="1076628996">
      <w:bodyDiv w:val="1"/>
      <w:marLeft w:val="0"/>
      <w:marRight w:val="0"/>
      <w:marTop w:val="0"/>
      <w:marBottom w:val="0"/>
      <w:divBdr>
        <w:top w:val="none" w:sz="0" w:space="0" w:color="auto"/>
        <w:left w:val="none" w:sz="0" w:space="0" w:color="auto"/>
        <w:bottom w:val="none" w:sz="0" w:space="0" w:color="auto"/>
        <w:right w:val="none" w:sz="0" w:space="0" w:color="auto"/>
      </w:divBdr>
    </w:div>
    <w:div w:id="1080443099">
      <w:bodyDiv w:val="1"/>
      <w:marLeft w:val="0"/>
      <w:marRight w:val="0"/>
      <w:marTop w:val="0"/>
      <w:marBottom w:val="0"/>
      <w:divBdr>
        <w:top w:val="none" w:sz="0" w:space="0" w:color="auto"/>
        <w:left w:val="none" w:sz="0" w:space="0" w:color="auto"/>
        <w:bottom w:val="none" w:sz="0" w:space="0" w:color="auto"/>
        <w:right w:val="none" w:sz="0" w:space="0" w:color="auto"/>
      </w:divBdr>
    </w:div>
    <w:div w:id="1486167839">
      <w:bodyDiv w:val="1"/>
      <w:marLeft w:val="0"/>
      <w:marRight w:val="0"/>
      <w:marTop w:val="0"/>
      <w:marBottom w:val="0"/>
      <w:divBdr>
        <w:top w:val="none" w:sz="0" w:space="0" w:color="auto"/>
        <w:left w:val="none" w:sz="0" w:space="0" w:color="auto"/>
        <w:bottom w:val="none" w:sz="0" w:space="0" w:color="auto"/>
        <w:right w:val="none" w:sz="0" w:space="0" w:color="auto"/>
      </w:divBdr>
    </w:div>
    <w:div w:id="1621642682">
      <w:bodyDiv w:val="1"/>
      <w:marLeft w:val="0"/>
      <w:marRight w:val="0"/>
      <w:marTop w:val="0"/>
      <w:marBottom w:val="0"/>
      <w:divBdr>
        <w:top w:val="none" w:sz="0" w:space="0" w:color="auto"/>
        <w:left w:val="none" w:sz="0" w:space="0" w:color="auto"/>
        <w:bottom w:val="none" w:sz="0" w:space="0" w:color="auto"/>
        <w:right w:val="none" w:sz="0" w:space="0" w:color="auto"/>
      </w:divBdr>
    </w:div>
    <w:div w:id="1752238255">
      <w:bodyDiv w:val="1"/>
      <w:marLeft w:val="0"/>
      <w:marRight w:val="0"/>
      <w:marTop w:val="0"/>
      <w:marBottom w:val="0"/>
      <w:divBdr>
        <w:top w:val="none" w:sz="0" w:space="0" w:color="auto"/>
        <w:left w:val="none" w:sz="0" w:space="0" w:color="auto"/>
        <w:bottom w:val="none" w:sz="0" w:space="0" w:color="auto"/>
        <w:right w:val="none" w:sz="0" w:space="0" w:color="auto"/>
      </w:divBdr>
    </w:div>
    <w:div w:id="204921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cid:image009.png@01D4C93C.373B494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217F41592CF23F44BA192D40B3C01440" ma:contentTypeVersion="0" ma:contentTypeDescription="Crear nuevo documento." ma:contentTypeScope="" ma:versionID="8a674393fb0d92f2301060e219d4cf0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EC28C3-EF23-4570-9608-FE667E836691}">
  <ds:schemaRefs>
    <ds:schemaRef ds:uri="http://schemas.openxmlformats.org/officeDocument/2006/bibliography"/>
  </ds:schemaRefs>
</ds:datastoreItem>
</file>

<file path=customXml/itemProps2.xml><?xml version="1.0" encoding="utf-8"?>
<ds:datastoreItem xmlns:ds="http://schemas.openxmlformats.org/officeDocument/2006/customXml" ds:itemID="{DDFA83A5-7E5F-4A49-8DB9-409E128BAF0D}"/>
</file>

<file path=customXml/itemProps3.xml><?xml version="1.0" encoding="utf-8"?>
<ds:datastoreItem xmlns:ds="http://schemas.openxmlformats.org/officeDocument/2006/customXml" ds:itemID="{1E3BDBE5-39EE-4B1C-B061-4DD704939891}"/>
</file>

<file path=customXml/itemProps4.xml><?xml version="1.0" encoding="utf-8"?>
<ds:datastoreItem xmlns:ds="http://schemas.openxmlformats.org/officeDocument/2006/customXml" ds:itemID="{B339BB49-B6A2-4F77-8C9D-AF6C015F3544}"/>
</file>

<file path=docProps/app.xml><?xml version="1.0" encoding="utf-8"?>
<Properties xmlns="http://schemas.openxmlformats.org/officeDocument/2006/extended-properties" xmlns:vt="http://schemas.openxmlformats.org/officeDocument/2006/docPropsVTypes">
  <Template>Normal</Template>
  <TotalTime>20</TotalTime>
  <Pages>3</Pages>
  <Words>627</Words>
  <Characters>3451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Fondo Nacional de Ahorro</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Zgonzalez</dc:creator>
  <cp:lastModifiedBy>Zulma Patricia Gonzalez Muñoz</cp:lastModifiedBy>
  <cp:revision>6</cp:revision>
  <dcterms:created xsi:type="dcterms:W3CDTF">2019-09-12T13:42:00Z</dcterms:created>
  <dcterms:modified xsi:type="dcterms:W3CDTF">2019-09-12T13:59:00Z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0x010100217F41592CF23F44BA192D40B3C01440</vt:lpwstr>
  </property>
</Properties>
</file>