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B5D" w:rsidRDefault="00A27B5D"/>
    <w:p w:rsidR="00A27B5D" w:rsidRDefault="00A27B5D"/>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rsidTr="0011042A">
        <w:trPr>
          <w:trHeight w:val="557"/>
        </w:trPr>
        <w:tc>
          <w:tcPr>
            <w:tcW w:w="8977" w:type="dxa"/>
          </w:tcPr>
          <w:p w:rsidR="00A27B5D" w:rsidRDefault="00A27B5D" w:rsidP="007D6EA7">
            <w:pPr>
              <w:pStyle w:val="Ttulo2"/>
              <w:ind w:right="72"/>
              <w:outlineLvl w:val="1"/>
              <w:rPr>
                <w:rFonts w:cs="Arial"/>
                <w:bCs/>
                <w:sz w:val="24"/>
                <w:szCs w:val="24"/>
              </w:rPr>
            </w:pPr>
          </w:p>
          <w:p w:rsidR="00FF1E8D" w:rsidRDefault="00FF1E8D" w:rsidP="007D6EA7">
            <w:pPr>
              <w:pStyle w:val="Ttulo2"/>
              <w:ind w:right="72"/>
              <w:outlineLvl w:val="1"/>
              <w:rPr>
                <w:rFonts w:cs="Arial"/>
                <w:bCs/>
                <w:sz w:val="24"/>
                <w:szCs w:val="24"/>
              </w:rPr>
            </w:pPr>
            <w:r w:rsidRPr="009918A3">
              <w:rPr>
                <w:rFonts w:cs="Arial"/>
                <w:bCs/>
                <w:sz w:val="24"/>
                <w:szCs w:val="24"/>
              </w:rPr>
              <w:t xml:space="preserve">MEMORIA </w:t>
            </w:r>
            <w:r w:rsidR="009918A3" w:rsidRPr="009918A3">
              <w:rPr>
                <w:rFonts w:cs="Arial"/>
                <w:bCs/>
                <w:sz w:val="24"/>
                <w:szCs w:val="24"/>
              </w:rPr>
              <w:t>JUSTIFICATIVA – EXPEDICIÓN</w:t>
            </w:r>
            <w:r w:rsidRPr="009918A3">
              <w:rPr>
                <w:rFonts w:cs="Arial"/>
                <w:bCs/>
                <w:sz w:val="24"/>
                <w:szCs w:val="24"/>
              </w:rPr>
              <w:t xml:space="preserve"> NORMATIVA</w:t>
            </w:r>
          </w:p>
          <w:p w:rsidR="00BC25D6" w:rsidRPr="00BC25D6" w:rsidRDefault="00BC25D6" w:rsidP="00BC25D6"/>
          <w:p w:rsidR="00A27B5D" w:rsidRPr="00A27B5D" w:rsidRDefault="00A27B5D" w:rsidP="00A27B5D"/>
        </w:tc>
      </w:tr>
      <w:tr w:rsidR="00FF1E8D" w:rsidTr="009C2732">
        <w:trPr>
          <w:trHeight w:val="573"/>
        </w:trPr>
        <w:tc>
          <w:tcPr>
            <w:tcW w:w="8977" w:type="dxa"/>
          </w:tcPr>
          <w:p w:rsidR="00B70BBE" w:rsidRDefault="00B70BBE" w:rsidP="00814F54">
            <w:pPr>
              <w:jc w:val="both"/>
              <w:rPr>
                <w:rFonts w:cs="Arial"/>
                <w:b/>
                <w:sz w:val="24"/>
                <w:szCs w:val="24"/>
                <w:lang w:val="es-CO"/>
              </w:rPr>
            </w:pPr>
          </w:p>
          <w:p w:rsidR="00FF1E8D" w:rsidRDefault="005539C3" w:rsidP="00814F54">
            <w:pPr>
              <w:jc w:val="both"/>
              <w:rPr>
                <w:rFonts w:cs="Arial"/>
                <w:sz w:val="24"/>
                <w:szCs w:val="24"/>
                <w:lang w:val="es-CO"/>
              </w:rPr>
            </w:pPr>
            <w:r w:rsidRPr="00FF1E8D">
              <w:rPr>
                <w:rFonts w:cs="Arial"/>
                <w:b/>
                <w:sz w:val="24"/>
                <w:szCs w:val="24"/>
                <w:lang w:val="es-CO"/>
              </w:rPr>
              <w:t>ENTIDAD QUE DESARROLLARA EL PROYECTO DE NORMA</w:t>
            </w:r>
            <w:r>
              <w:rPr>
                <w:rFonts w:cs="Arial"/>
                <w:b/>
                <w:sz w:val="24"/>
                <w:szCs w:val="24"/>
                <w:lang w:val="es-CO"/>
              </w:rPr>
              <w:t xml:space="preserve">: </w:t>
            </w:r>
            <w:r w:rsidR="00FF1E8D" w:rsidRPr="00FF1E8D">
              <w:rPr>
                <w:rFonts w:cs="Arial"/>
                <w:sz w:val="24"/>
                <w:szCs w:val="24"/>
                <w:lang w:val="es-CO"/>
              </w:rPr>
              <w:t>Fondo Nacional del Ahorro</w:t>
            </w:r>
            <w:r w:rsidR="00C0667D">
              <w:rPr>
                <w:rFonts w:cs="Arial"/>
                <w:sz w:val="24"/>
                <w:szCs w:val="24"/>
                <w:lang w:val="es-CO"/>
              </w:rPr>
              <w:t xml:space="preserve"> Carlos Lleras Restrepo</w:t>
            </w:r>
            <w:r w:rsidR="00B9058E">
              <w:rPr>
                <w:rFonts w:cs="Arial"/>
                <w:sz w:val="24"/>
                <w:szCs w:val="24"/>
                <w:lang w:val="es-CO"/>
              </w:rPr>
              <w:t>.</w:t>
            </w:r>
          </w:p>
          <w:p w:rsidR="00A27B5D" w:rsidRDefault="00A27B5D" w:rsidP="00814F54">
            <w:pPr>
              <w:jc w:val="both"/>
              <w:rPr>
                <w:rFonts w:cs="Arial"/>
                <w:sz w:val="24"/>
                <w:szCs w:val="24"/>
                <w:lang w:val="es-CO"/>
              </w:rPr>
            </w:pPr>
          </w:p>
          <w:p w:rsidR="0017608B" w:rsidRPr="00FF1E8D" w:rsidRDefault="0017608B" w:rsidP="00814F54">
            <w:pPr>
              <w:jc w:val="both"/>
              <w:rPr>
                <w:b/>
              </w:rPr>
            </w:pPr>
          </w:p>
        </w:tc>
      </w:tr>
      <w:tr w:rsidR="00FF1E8D" w:rsidTr="009C2732">
        <w:trPr>
          <w:trHeight w:val="511"/>
        </w:trPr>
        <w:tc>
          <w:tcPr>
            <w:tcW w:w="8977" w:type="dxa"/>
          </w:tcPr>
          <w:p w:rsidR="00FF1E8D" w:rsidRDefault="00FF1E8D" w:rsidP="00814F54">
            <w:pPr>
              <w:jc w:val="both"/>
            </w:pPr>
          </w:p>
          <w:p w:rsidR="00A27B5D" w:rsidRDefault="005539C3" w:rsidP="0018046A">
            <w:pPr>
              <w:jc w:val="both"/>
              <w:rPr>
                <w:sz w:val="24"/>
                <w:szCs w:val="24"/>
              </w:rPr>
            </w:pPr>
            <w:r w:rsidRPr="00A56AE8">
              <w:rPr>
                <w:b/>
                <w:sz w:val="24"/>
                <w:szCs w:val="24"/>
              </w:rPr>
              <w:t>FECHA</w:t>
            </w:r>
            <w:r w:rsidRPr="008B3C6C">
              <w:rPr>
                <w:sz w:val="24"/>
                <w:szCs w:val="24"/>
              </w:rPr>
              <w:t xml:space="preserve">: </w:t>
            </w:r>
            <w:r w:rsidR="009556C9">
              <w:rPr>
                <w:sz w:val="24"/>
                <w:szCs w:val="24"/>
              </w:rPr>
              <w:t>14</w:t>
            </w:r>
            <w:r w:rsidR="006E3E91">
              <w:rPr>
                <w:sz w:val="24"/>
                <w:szCs w:val="24"/>
              </w:rPr>
              <w:t xml:space="preserve"> de septiembre</w:t>
            </w:r>
            <w:r w:rsidR="00F83B25">
              <w:rPr>
                <w:sz w:val="24"/>
                <w:szCs w:val="24"/>
              </w:rPr>
              <w:t xml:space="preserve"> de 2020</w:t>
            </w:r>
          </w:p>
          <w:p w:rsidR="005779A4" w:rsidRPr="00A56AE8" w:rsidRDefault="00F83B25" w:rsidP="0018046A">
            <w:pPr>
              <w:jc w:val="both"/>
              <w:rPr>
                <w:b/>
                <w:sz w:val="24"/>
                <w:szCs w:val="24"/>
              </w:rPr>
            </w:pPr>
            <w:r>
              <w:rPr>
                <w:sz w:val="24"/>
                <w:szCs w:val="24"/>
              </w:rPr>
              <w:t xml:space="preserve"> </w:t>
            </w:r>
          </w:p>
        </w:tc>
      </w:tr>
      <w:tr w:rsidR="00FF1E8D" w:rsidTr="009C2732">
        <w:trPr>
          <w:trHeight w:val="806"/>
        </w:trPr>
        <w:tc>
          <w:tcPr>
            <w:tcW w:w="8977" w:type="dxa"/>
          </w:tcPr>
          <w:p w:rsidR="00A56AE8" w:rsidRDefault="00A56AE8" w:rsidP="00814F54">
            <w:pPr>
              <w:ind w:right="72"/>
              <w:jc w:val="both"/>
              <w:rPr>
                <w:rFonts w:cs="Arial"/>
                <w:b/>
                <w:bCs/>
                <w:sz w:val="24"/>
                <w:szCs w:val="24"/>
              </w:rPr>
            </w:pPr>
          </w:p>
          <w:p w:rsidR="006E0705" w:rsidRDefault="005539C3" w:rsidP="006E0705">
            <w:pPr>
              <w:tabs>
                <w:tab w:val="left" w:pos="284"/>
                <w:tab w:val="left" w:pos="8931"/>
              </w:tabs>
              <w:ind w:right="44"/>
              <w:jc w:val="both"/>
              <w:rPr>
                <w:rFonts w:cs="Arial"/>
                <w:iCs/>
                <w:sz w:val="24"/>
                <w:szCs w:val="24"/>
              </w:rPr>
            </w:pPr>
            <w:r w:rsidRPr="00D37A3A">
              <w:rPr>
                <w:rFonts w:cs="Arial"/>
                <w:b/>
                <w:bCs/>
                <w:sz w:val="24"/>
                <w:szCs w:val="24"/>
              </w:rPr>
              <w:t>PROYECTO DE ACTO ADMINISTRATIVO</w:t>
            </w:r>
            <w:r w:rsidRPr="00D37A3A">
              <w:rPr>
                <w:rFonts w:cs="Arial"/>
                <w:bCs/>
                <w:sz w:val="24"/>
                <w:szCs w:val="24"/>
              </w:rPr>
              <w:t xml:space="preserve">: </w:t>
            </w:r>
            <w:r w:rsidR="00A27B5D">
              <w:rPr>
                <w:rFonts w:cs="Arial"/>
                <w:bCs/>
                <w:sz w:val="24"/>
                <w:szCs w:val="24"/>
              </w:rPr>
              <w:t>P</w:t>
            </w:r>
            <w:r w:rsidR="006E0705" w:rsidRPr="00D37A3A">
              <w:rPr>
                <w:rFonts w:cs="Arial"/>
                <w:bCs/>
                <w:sz w:val="24"/>
                <w:szCs w:val="24"/>
              </w:rPr>
              <w:t xml:space="preserve">or medio del cual se </w:t>
            </w:r>
            <w:r w:rsidR="000F5DFE">
              <w:rPr>
                <w:rFonts w:cs="Arial"/>
                <w:bCs/>
                <w:sz w:val="24"/>
                <w:szCs w:val="24"/>
              </w:rPr>
              <w:t xml:space="preserve">adopta </w:t>
            </w:r>
            <w:r w:rsidR="006E0705" w:rsidRPr="00D37A3A">
              <w:rPr>
                <w:rFonts w:cs="Arial"/>
                <w:sz w:val="24"/>
                <w:szCs w:val="24"/>
              </w:rPr>
              <w:t>una nueva versión del</w:t>
            </w:r>
            <w:r w:rsidR="006E0705" w:rsidRPr="00D37A3A">
              <w:rPr>
                <w:rFonts w:cs="Arial"/>
                <w:iCs/>
                <w:sz w:val="24"/>
                <w:szCs w:val="24"/>
              </w:rPr>
              <w:t xml:space="preserve"> Reglamento de </w:t>
            </w:r>
            <w:r w:rsidR="004F4887" w:rsidRPr="00D37A3A">
              <w:rPr>
                <w:rFonts w:cs="Arial"/>
                <w:iCs/>
                <w:sz w:val="24"/>
                <w:szCs w:val="24"/>
              </w:rPr>
              <w:t xml:space="preserve">Cesantías </w:t>
            </w:r>
            <w:r w:rsidR="006E0705" w:rsidRPr="00D37A3A">
              <w:rPr>
                <w:rFonts w:cs="Arial"/>
                <w:iCs/>
                <w:sz w:val="24"/>
                <w:szCs w:val="24"/>
              </w:rPr>
              <w:t>en el Fondo Nacional del Ahorro</w:t>
            </w:r>
            <w:r w:rsidR="004F4887" w:rsidRPr="00D37A3A">
              <w:rPr>
                <w:rFonts w:cs="Arial"/>
                <w:sz w:val="24"/>
                <w:szCs w:val="24"/>
                <w:lang w:val="es-ES_tradnl"/>
              </w:rPr>
              <w:t xml:space="preserve"> “Carlos Lleras Restrepo”</w:t>
            </w:r>
            <w:r w:rsidR="00D512AD">
              <w:rPr>
                <w:rFonts w:cs="Arial"/>
                <w:sz w:val="24"/>
                <w:szCs w:val="24"/>
                <w:lang w:val="es-ES_tradnl"/>
              </w:rPr>
              <w:t xml:space="preserve"> -</w:t>
            </w:r>
            <w:r w:rsidR="00D512AD" w:rsidRPr="00D512AD">
              <w:rPr>
                <w:rFonts w:cs="Arial"/>
                <w:sz w:val="24"/>
                <w:szCs w:val="24"/>
                <w:lang w:val="es-ES_tradnl"/>
              </w:rPr>
              <w:t>V</w:t>
            </w:r>
            <w:r w:rsidR="00BC25D6">
              <w:rPr>
                <w:rFonts w:cs="Arial"/>
                <w:sz w:val="24"/>
                <w:szCs w:val="24"/>
                <w:lang w:val="es-ES_tradnl"/>
              </w:rPr>
              <w:t>ersión</w:t>
            </w:r>
            <w:r w:rsidR="00D512AD">
              <w:rPr>
                <w:rFonts w:cs="Arial"/>
                <w:sz w:val="24"/>
                <w:szCs w:val="24"/>
                <w:lang w:val="es-ES_tradnl"/>
              </w:rPr>
              <w:t xml:space="preserve"> </w:t>
            </w:r>
            <w:r w:rsidR="00C143E8">
              <w:rPr>
                <w:rFonts w:cs="Arial"/>
                <w:sz w:val="24"/>
                <w:szCs w:val="24"/>
                <w:lang w:val="es-ES_tradnl"/>
              </w:rPr>
              <w:t>7</w:t>
            </w:r>
            <w:r w:rsidR="00D512AD">
              <w:rPr>
                <w:rFonts w:cs="Arial"/>
                <w:sz w:val="24"/>
                <w:szCs w:val="24"/>
                <w:lang w:val="es-ES_tradnl"/>
              </w:rPr>
              <w:t>-</w:t>
            </w:r>
          </w:p>
          <w:p w:rsidR="009C2732" w:rsidRDefault="009C2732" w:rsidP="00814F54">
            <w:pPr>
              <w:tabs>
                <w:tab w:val="left" w:pos="284"/>
                <w:tab w:val="left" w:pos="8931"/>
              </w:tabs>
              <w:ind w:right="44"/>
              <w:jc w:val="both"/>
            </w:pPr>
          </w:p>
          <w:p w:rsidR="00A27B5D" w:rsidRDefault="00A27B5D" w:rsidP="00814F54">
            <w:pPr>
              <w:tabs>
                <w:tab w:val="left" w:pos="284"/>
                <w:tab w:val="left" w:pos="8931"/>
              </w:tabs>
              <w:ind w:right="44"/>
              <w:jc w:val="both"/>
            </w:pPr>
          </w:p>
        </w:tc>
      </w:tr>
      <w:tr w:rsidR="00FF1E8D" w:rsidTr="009C2732">
        <w:trPr>
          <w:trHeight w:val="744"/>
        </w:trPr>
        <w:tc>
          <w:tcPr>
            <w:tcW w:w="8977" w:type="dxa"/>
          </w:tcPr>
          <w:p w:rsidR="009C2732" w:rsidRDefault="009C2732" w:rsidP="00814F54">
            <w:pPr>
              <w:jc w:val="both"/>
            </w:pPr>
          </w:p>
          <w:p w:rsidR="00ED0A60" w:rsidRDefault="00ED0A60" w:rsidP="00814F54">
            <w:pPr>
              <w:jc w:val="both"/>
              <w:rPr>
                <w:rFonts w:cs="Arial"/>
                <w:b/>
                <w:bCs/>
                <w:sz w:val="24"/>
                <w:szCs w:val="24"/>
              </w:rPr>
            </w:pPr>
            <w:r w:rsidRPr="00ED0A60">
              <w:rPr>
                <w:rFonts w:cs="Arial"/>
                <w:b/>
                <w:bCs/>
                <w:sz w:val="24"/>
                <w:szCs w:val="24"/>
              </w:rPr>
              <w:t>NORMAS QUE OTORGAN COMPETENCIA PARA LA EXPEDICIÓN DEL ACTO</w:t>
            </w:r>
            <w:r>
              <w:rPr>
                <w:rFonts w:cs="Arial"/>
                <w:b/>
                <w:bCs/>
                <w:sz w:val="24"/>
                <w:szCs w:val="24"/>
              </w:rPr>
              <w:t>:</w:t>
            </w:r>
          </w:p>
          <w:p w:rsidR="00C143E8" w:rsidRDefault="00C143E8" w:rsidP="00166ABD">
            <w:pPr>
              <w:ind w:left="720"/>
              <w:jc w:val="both"/>
              <w:rPr>
                <w:i/>
                <w:sz w:val="22"/>
                <w:szCs w:val="22"/>
              </w:rPr>
            </w:pPr>
          </w:p>
          <w:p w:rsidR="00F32BF4" w:rsidRDefault="00474C7B" w:rsidP="00474C7B">
            <w:pPr>
              <w:jc w:val="both"/>
              <w:rPr>
                <w:sz w:val="24"/>
                <w:szCs w:val="24"/>
              </w:rPr>
            </w:pPr>
            <w:r>
              <w:rPr>
                <w:sz w:val="24"/>
                <w:szCs w:val="24"/>
              </w:rPr>
              <w:t xml:space="preserve">Literal F) del artículo 12 del </w:t>
            </w:r>
            <w:r w:rsidRPr="00EC5DBC">
              <w:rPr>
                <w:sz w:val="24"/>
                <w:szCs w:val="24"/>
              </w:rPr>
              <w:t>Decreto 1454 de 1998,</w:t>
            </w:r>
            <w:r>
              <w:rPr>
                <w:sz w:val="24"/>
                <w:szCs w:val="24"/>
              </w:rPr>
              <w:t xml:space="preserve"> por medio del cual se establecen los Estatutos del Fondo Nacional del Ahorro, el cual establece como función de la Junta Directiva de la Entidad expedir el </w:t>
            </w:r>
            <w:r w:rsidR="00A27B5D">
              <w:rPr>
                <w:sz w:val="24"/>
                <w:szCs w:val="24"/>
              </w:rPr>
              <w:t>R</w:t>
            </w:r>
            <w:r>
              <w:rPr>
                <w:sz w:val="24"/>
                <w:szCs w:val="24"/>
              </w:rPr>
              <w:t xml:space="preserve">eglamento de Cesantías. </w:t>
            </w:r>
          </w:p>
          <w:p w:rsidR="00474C7B" w:rsidRDefault="00474C7B" w:rsidP="00474C7B">
            <w:pPr>
              <w:jc w:val="both"/>
            </w:pPr>
          </w:p>
          <w:p w:rsidR="00A27B5D" w:rsidRPr="00F32BF4" w:rsidRDefault="00A27B5D" w:rsidP="00474C7B">
            <w:pPr>
              <w:jc w:val="both"/>
            </w:pPr>
          </w:p>
        </w:tc>
      </w:tr>
      <w:tr w:rsidR="00FF1E8D" w:rsidTr="009C2732">
        <w:trPr>
          <w:trHeight w:val="527"/>
        </w:trPr>
        <w:tc>
          <w:tcPr>
            <w:tcW w:w="8977" w:type="dxa"/>
          </w:tcPr>
          <w:p w:rsidR="00A27B5D" w:rsidRDefault="00A27B5D" w:rsidP="00F32BF4">
            <w:pPr>
              <w:jc w:val="both"/>
              <w:rPr>
                <w:rFonts w:cs="Arial"/>
                <w:b/>
                <w:bCs/>
                <w:sz w:val="24"/>
                <w:szCs w:val="24"/>
              </w:rPr>
            </w:pPr>
          </w:p>
          <w:p w:rsidR="00740DF4" w:rsidRDefault="00474C7B" w:rsidP="00F32BF4">
            <w:pPr>
              <w:jc w:val="both"/>
              <w:rPr>
                <w:rFonts w:cs="Arial"/>
                <w:b/>
                <w:bCs/>
                <w:sz w:val="24"/>
                <w:szCs w:val="24"/>
              </w:rPr>
            </w:pPr>
            <w:r w:rsidRPr="00A57862">
              <w:rPr>
                <w:rFonts w:cs="Arial"/>
                <w:b/>
                <w:bCs/>
                <w:sz w:val="24"/>
                <w:szCs w:val="24"/>
              </w:rPr>
              <w:t>VIGENCIA DE LA NORMA REGLAMENTADA O DESARROLLADA</w:t>
            </w:r>
            <w:r>
              <w:rPr>
                <w:rFonts w:cs="Arial"/>
                <w:b/>
                <w:bCs/>
                <w:sz w:val="24"/>
                <w:szCs w:val="24"/>
              </w:rPr>
              <w:t>.</w:t>
            </w:r>
          </w:p>
          <w:p w:rsidR="00474C7B" w:rsidRDefault="00474C7B" w:rsidP="00F32BF4">
            <w:pPr>
              <w:jc w:val="both"/>
              <w:rPr>
                <w:rFonts w:cs="Arial"/>
                <w:b/>
                <w:bCs/>
                <w:sz w:val="24"/>
                <w:szCs w:val="24"/>
              </w:rPr>
            </w:pPr>
          </w:p>
          <w:p w:rsidR="00474C7B" w:rsidRPr="00474C7B" w:rsidRDefault="00474C7B" w:rsidP="00F32BF4">
            <w:pPr>
              <w:jc w:val="both"/>
              <w:rPr>
                <w:rFonts w:cs="Arial"/>
                <w:sz w:val="24"/>
                <w:szCs w:val="24"/>
              </w:rPr>
            </w:pPr>
            <w:r w:rsidRPr="00474C7B">
              <w:rPr>
                <w:rFonts w:cs="Arial"/>
                <w:bCs/>
                <w:sz w:val="24"/>
                <w:szCs w:val="24"/>
              </w:rPr>
              <w:t xml:space="preserve">La norma </w:t>
            </w:r>
            <w:r w:rsidR="00A960FC">
              <w:rPr>
                <w:rFonts w:cs="Arial"/>
                <w:bCs/>
                <w:sz w:val="24"/>
                <w:szCs w:val="24"/>
              </w:rPr>
              <w:t xml:space="preserve">rige a partir de la fecha de su </w:t>
            </w:r>
            <w:r w:rsidR="00A27B5D">
              <w:rPr>
                <w:rFonts w:cs="Arial"/>
                <w:bCs/>
                <w:sz w:val="24"/>
                <w:szCs w:val="24"/>
              </w:rPr>
              <w:t>publicación</w:t>
            </w:r>
            <w:r>
              <w:rPr>
                <w:rFonts w:cs="Arial"/>
                <w:bCs/>
                <w:sz w:val="24"/>
                <w:szCs w:val="24"/>
              </w:rPr>
              <w:t>.</w:t>
            </w:r>
          </w:p>
          <w:p w:rsidR="004B06FD" w:rsidRPr="00A57862" w:rsidRDefault="004B06FD" w:rsidP="00F32BF4">
            <w:pPr>
              <w:jc w:val="both"/>
              <w:rPr>
                <w:b/>
              </w:rPr>
            </w:pPr>
          </w:p>
        </w:tc>
      </w:tr>
      <w:tr w:rsidR="00FF1E8D" w:rsidTr="009C2732">
        <w:trPr>
          <w:trHeight w:val="1085"/>
        </w:trPr>
        <w:tc>
          <w:tcPr>
            <w:tcW w:w="8977" w:type="dxa"/>
          </w:tcPr>
          <w:p w:rsidR="00A27B5D" w:rsidRDefault="00A27B5D" w:rsidP="00814F54">
            <w:pPr>
              <w:jc w:val="both"/>
              <w:rPr>
                <w:rFonts w:cs="Arial"/>
                <w:b/>
                <w:bCs/>
                <w:sz w:val="24"/>
                <w:szCs w:val="24"/>
              </w:rPr>
            </w:pPr>
          </w:p>
          <w:p w:rsidR="00211908" w:rsidRDefault="00474C7B" w:rsidP="00814F54">
            <w:pPr>
              <w:jc w:val="both"/>
              <w:rPr>
                <w:rFonts w:cs="Arial"/>
                <w:b/>
                <w:bCs/>
                <w:sz w:val="24"/>
                <w:szCs w:val="24"/>
              </w:rPr>
            </w:pPr>
            <w:r w:rsidRPr="0009232C">
              <w:rPr>
                <w:rFonts w:cs="Arial"/>
                <w:b/>
                <w:bCs/>
                <w:sz w:val="24"/>
                <w:szCs w:val="24"/>
              </w:rPr>
              <w:t>DISPOSICIONES DEROGADAS, SUBROGADAS, MODIFICADAS, ADICIONADAS O SUSTITUIDAS</w:t>
            </w:r>
            <w:r w:rsidR="004F7BFB">
              <w:rPr>
                <w:rFonts w:cs="Arial"/>
                <w:b/>
                <w:bCs/>
                <w:sz w:val="24"/>
                <w:szCs w:val="24"/>
              </w:rPr>
              <w:t xml:space="preserve">. </w:t>
            </w:r>
          </w:p>
          <w:p w:rsidR="007D1360" w:rsidRDefault="007D1360" w:rsidP="00814F54">
            <w:pPr>
              <w:jc w:val="both"/>
              <w:rPr>
                <w:rFonts w:cs="Arial"/>
                <w:b/>
                <w:bCs/>
                <w:sz w:val="24"/>
                <w:szCs w:val="24"/>
              </w:rPr>
            </w:pPr>
          </w:p>
          <w:p w:rsidR="00B70C51" w:rsidRDefault="003461A8" w:rsidP="0029342C">
            <w:pPr>
              <w:jc w:val="both"/>
              <w:rPr>
                <w:rFonts w:cs="Arial"/>
                <w:iCs/>
                <w:sz w:val="24"/>
                <w:szCs w:val="24"/>
              </w:rPr>
            </w:pPr>
            <w:r>
              <w:rPr>
                <w:rFonts w:cs="Arial"/>
                <w:bCs/>
                <w:sz w:val="24"/>
                <w:szCs w:val="24"/>
              </w:rPr>
              <w:t>La nueva disposición deroga e</w:t>
            </w:r>
            <w:r w:rsidR="00017D04" w:rsidRPr="0029342C">
              <w:rPr>
                <w:rFonts w:cs="Arial"/>
                <w:bCs/>
                <w:sz w:val="24"/>
                <w:szCs w:val="24"/>
              </w:rPr>
              <w:t xml:space="preserve">l </w:t>
            </w:r>
            <w:r w:rsidR="00C143E8">
              <w:rPr>
                <w:rFonts w:cs="Arial"/>
                <w:bCs/>
                <w:sz w:val="24"/>
                <w:szCs w:val="24"/>
              </w:rPr>
              <w:t xml:space="preserve">Acuerdo </w:t>
            </w:r>
            <w:r w:rsidR="00C143E8">
              <w:rPr>
                <w:rFonts w:cs="Arial"/>
                <w:iCs/>
                <w:sz w:val="24"/>
                <w:szCs w:val="24"/>
              </w:rPr>
              <w:t>2296 de 2020</w:t>
            </w:r>
            <w:r w:rsidR="00A960FC">
              <w:rPr>
                <w:rFonts w:cs="Arial"/>
                <w:iCs/>
                <w:sz w:val="24"/>
                <w:szCs w:val="24"/>
              </w:rPr>
              <w:t>,</w:t>
            </w:r>
            <w:r w:rsidR="00474C7B">
              <w:rPr>
                <w:rFonts w:cs="Arial"/>
                <w:iCs/>
                <w:sz w:val="24"/>
                <w:szCs w:val="24"/>
              </w:rPr>
              <w:t xml:space="preserve"> por medio del cual se adopta la V</w:t>
            </w:r>
            <w:r w:rsidR="004E54E3">
              <w:rPr>
                <w:rFonts w:cs="Arial"/>
                <w:iCs/>
                <w:sz w:val="24"/>
                <w:szCs w:val="24"/>
              </w:rPr>
              <w:t>ersión</w:t>
            </w:r>
            <w:r w:rsidR="00474C7B">
              <w:rPr>
                <w:rFonts w:cs="Arial"/>
                <w:iCs/>
                <w:sz w:val="24"/>
                <w:szCs w:val="24"/>
              </w:rPr>
              <w:t xml:space="preserve"> 6 del Reglamento de </w:t>
            </w:r>
            <w:r w:rsidR="00C143E8" w:rsidRPr="00D37A3A">
              <w:rPr>
                <w:rFonts w:cs="Arial"/>
                <w:iCs/>
                <w:sz w:val="24"/>
                <w:szCs w:val="24"/>
              </w:rPr>
              <w:t>Cesantías</w:t>
            </w:r>
          </w:p>
          <w:p w:rsidR="00B70C51" w:rsidRDefault="00B70C51" w:rsidP="0029342C">
            <w:pPr>
              <w:jc w:val="both"/>
              <w:rPr>
                <w:rFonts w:cs="Arial"/>
                <w:iCs/>
                <w:sz w:val="24"/>
                <w:szCs w:val="24"/>
              </w:rPr>
            </w:pPr>
          </w:p>
          <w:p w:rsidR="00B70C51" w:rsidRDefault="00B70C51" w:rsidP="0029342C">
            <w:pPr>
              <w:jc w:val="both"/>
              <w:rPr>
                <w:rFonts w:cs="Arial"/>
                <w:iCs/>
                <w:sz w:val="24"/>
                <w:szCs w:val="24"/>
              </w:rPr>
            </w:pPr>
          </w:p>
          <w:p w:rsidR="00B70C51" w:rsidRDefault="00B70C51" w:rsidP="0029342C">
            <w:pPr>
              <w:jc w:val="both"/>
              <w:rPr>
                <w:rFonts w:cs="Arial"/>
                <w:iCs/>
                <w:sz w:val="24"/>
                <w:szCs w:val="24"/>
              </w:rPr>
            </w:pPr>
          </w:p>
          <w:p w:rsidR="0029342C" w:rsidRPr="0009232C" w:rsidRDefault="0029342C" w:rsidP="0029342C">
            <w:pPr>
              <w:jc w:val="both"/>
              <w:rPr>
                <w:b/>
              </w:rPr>
            </w:pPr>
          </w:p>
        </w:tc>
      </w:tr>
      <w:tr w:rsidR="00A56AE8" w:rsidTr="003B08BF">
        <w:trPr>
          <w:trHeight w:val="5094"/>
        </w:trPr>
        <w:tc>
          <w:tcPr>
            <w:tcW w:w="8977" w:type="dxa"/>
          </w:tcPr>
          <w:p w:rsidR="000845D5" w:rsidRDefault="00A27B5D" w:rsidP="00814F54">
            <w:pPr>
              <w:jc w:val="both"/>
              <w:rPr>
                <w:rFonts w:cs="Arial"/>
                <w:b/>
                <w:sz w:val="24"/>
                <w:szCs w:val="24"/>
                <w:lang w:val="es-CO"/>
              </w:rPr>
            </w:pPr>
            <w:r w:rsidRPr="008A563D">
              <w:rPr>
                <w:rFonts w:cs="Arial"/>
                <w:b/>
                <w:sz w:val="24"/>
                <w:szCs w:val="24"/>
                <w:lang w:val="es-CO"/>
              </w:rPr>
              <w:lastRenderedPageBreak/>
              <w:t>A</w:t>
            </w:r>
            <w:r>
              <w:rPr>
                <w:rFonts w:cs="Arial"/>
                <w:b/>
                <w:sz w:val="24"/>
                <w:szCs w:val="24"/>
                <w:lang w:val="es-CO"/>
              </w:rPr>
              <w:t xml:space="preserve">NTECEDENTES Y RAZONES DE OPORTUNIDAD Y CONVENIENCIA QUE JUSTIFICAN LA EXPEDICIÓN DEL PROYECTO:  </w:t>
            </w:r>
          </w:p>
          <w:p w:rsidR="00ED0A60" w:rsidRDefault="00ED0A60" w:rsidP="00ED0A60">
            <w:pPr>
              <w:ind w:right="51"/>
              <w:jc w:val="both"/>
              <w:rPr>
                <w:b/>
                <w:sz w:val="24"/>
                <w:szCs w:val="24"/>
                <w:highlight w:val="red"/>
              </w:rPr>
            </w:pPr>
          </w:p>
          <w:p w:rsidR="00FE562C" w:rsidRDefault="00FE562C" w:rsidP="00ED0A60">
            <w:pPr>
              <w:ind w:right="51"/>
              <w:jc w:val="both"/>
              <w:rPr>
                <w:sz w:val="24"/>
                <w:szCs w:val="24"/>
              </w:rPr>
            </w:pPr>
            <w:r>
              <w:rPr>
                <w:sz w:val="24"/>
                <w:szCs w:val="24"/>
              </w:rPr>
              <w:t>E</w:t>
            </w:r>
            <w:r w:rsidR="00294B78" w:rsidRPr="00294B78">
              <w:rPr>
                <w:sz w:val="24"/>
                <w:szCs w:val="24"/>
              </w:rPr>
              <w:t>l Decreto</w:t>
            </w:r>
            <w:r w:rsidR="00294B78">
              <w:rPr>
                <w:sz w:val="24"/>
                <w:szCs w:val="24"/>
              </w:rPr>
              <w:t xml:space="preserve"> 1562 de 2019</w:t>
            </w:r>
            <w:r w:rsidR="00235707">
              <w:rPr>
                <w:sz w:val="24"/>
                <w:szCs w:val="24"/>
              </w:rPr>
              <w:t>, por</w:t>
            </w:r>
            <w:r w:rsidR="00635418">
              <w:rPr>
                <w:sz w:val="24"/>
                <w:szCs w:val="24"/>
              </w:rPr>
              <w:t xml:space="preserve"> medio del cual se adiciona el Decreto </w:t>
            </w:r>
            <w:r w:rsidR="00235707">
              <w:rPr>
                <w:sz w:val="24"/>
                <w:szCs w:val="24"/>
              </w:rPr>
              <w:t>1072 de 2015 referente al retiro de cesantías, establece diferentes disposiciones en relación con</w:t>
            </w:r>
            <w:r w:rsidR="00294B78">
              <w:rPr>
                <w:sz w:val="24"/>
                <w:szCs w:val="24"/>
              </w:rPr>
              <w:t xml:space="preserve"> los retiros </w:t>
            </w:r>
            <w:r w:rsidR="00235707">
              <w:rPr>
                <w:sz w:val="24"/>
                <w:szCs w:val="24"/>
              </w:rPr>
              <w:t>y en particular los requisito</w:t>
            </w:r>
            <w:r w:rsidR="00BE3889">
              <w:rPr>
                <w:sz w:val="24"/>
                <w:szCs w:val="24"/>
              </w:rPr>
              <w:t>s</w:t>
            </w:r>
            <w:r w:rsidR="00235707">
              <w:rPr>
                <w:sz w:val="24"/>
                <w:szCs w:val="24"/>
              </w:rPr>
              <w:t xml:space="preserve"> para el retiro </w:t>
            </w:r>
            <w:r w:rsidR="00635418">
              <w:rPr>
                <w:sz w:val="24"/>
                <w:szCs w:val="24"/>
              </w:rPr>
              <w:t xml:space="preserve">de cesantías cuando se trata </w:t>
            </w:r>
            <w:r w:rsidR="00BC25D6">
              <w:rPr>
                <w:sz w:val="24"/>
                <w:szCs w:val="24"/>
              </w:rPr>
              <w:t xml:space="preserve">para </w:t>
            </w:r>
            <w:r w:rsidR="00235707">
              <w:rPr>
                <w:sz w:val="24"/>
                <w:szCs w:val="24"/>
              </w:rPr>
              <w:t>fines de educación – estudio, ahorro programado y segur</w:t>
            </w:r>
            <w:r w:rsidR="00BE3889">
              <w:rPr>
                <w:sz w:val="24"/>
                <w:szCs w:val="24"/>
              </w:rPr>
              <w:t>o</w:t>
            </w:r>
            <w:r w:rsidR="00235707">
              <w:rPr>
                <w:sz w:val="24"/>
                <w:szCs w:val="24"/>
              </w:rPr>
              <w:t xml:space="preserve"> educativo-</w:t>
            </w:r>
            <w:r>
              <w:rPr>
                <w:sz w:val="24"/>
                <w:szCs w:val="24"/>
              </w:rPr>
              <w:t xml:space="preserve">; igualmente precisa el decreto algunos aspectos relacionados con el pago de cesantías </w:t>
            </w:r>
            <w:r>
              <w:rPr>
                <w:rFonts w:cs="Arial"/>
                <w:sz w:val="24"/>
                <w:szCs w:val="24"/>
              </w:rPr>
              <w:t xml:space="preserve"> en</w:t>
            </w:r>
            <w:r w:rsidRPr="003B08BF">
              <w:rPr>
                <w:rFonts w:cs="Arial"/>
                <w:sz w:val="24"/>
                <w:szCs w:val="24"/>
              </w:rPr>
              <w:t xml:space="preserve"> </w:t>
            </w:r>
            <w:r>
              <w:rPr>
                <w:rFonts w:cs="Arial"/>
                <w:sz w:val="24"/>
                <w:szCs w:val="24"/>
              </w:rPr>
              <w:t xml:space="preserve">los </w:t>
            </w:r>
            <w:r w:rsidRPr="003B08BF">
              <w:rPr>
                <w:rFonts w:cs="Arial"/>
                <w:sz w:val="24"/>
                <w:szCs w:val="24"/>
              </w:rPr>
              <w:t>c</w:t>
            </w:r>
            <w:r>
              <w:rPr>
                <w:rFonts w:cs="Arial"/>
                <w:sz w:val="24"/>
                <w:szCs w:val="24"/>
              </w:rPr>
              <w:t xml:space="preserve">asos de sustitución del empleador, </w:t>
            </w:r>
            <w:r w:rsidRPr="003B08BF">
              <w:rPr>
                <w:rFonts w:cs="Arial"/>
                <w:sz w:val="24"/>
                <w:szCs w:val="24"/>
              </w:rPr>
              <w:t>de llamamiento ordinario o convocatoria de reservas para prestar el servicio militar</w:t>
            </w:r>
            <w:r>
              <w:rPr>
                <w:rFonts w:cs="Arial"/>
                <w:sz w:val="24"/>
                <w:szCs w:val="24"/>
              </w:rPr>
              <w:t xml:space="preserve"> y de la obligación de los empleadores de</w:t>
            </w:r>
            <w:r w:rsidRPr="003B08BF">
              <w:rPr>
                <w:sz w:val="24"/>
                <w:szCs w:val="24"/>
              </w:rPr>
              <w:t xml:space="preserve"> constatar el cumplimiento de lo establecido para</w:t>
            </w:r>
            <w:r>
              <w:rPr>
                <w:sz w:val="24"/>
                <w:szCs w:val="24"/>
              </w:rPr>
              <w:t xml:space="preserve"> </w:t>
            </w:r>
            <w:r w:rsidRPr="003B08BF">
              <w:rPr>
                <w:sz w:val="24"/>
                <w:szCs w:val="24"/>
              </w:rPr>
              <w:t>la solicitud de retiro parcial o definitivo</w:t>
            </w:r>
            <w:r>
              <w:rPr>
                <w:sz w:val="24"/>
                <w:szCs w:val="24"/>
              </w:rPr>
              <w:t>.</w:t>
            </w:r>
          </w:p>
          <w:p w:rsidR="007E53A2" w:rsidRPr="00EC0042" w:rsidRDefault="007E53A2" w:rsidP="00ED0A60">
            <w:pPr>
              <w:ind w:right="51"/>
              <w:jc w:val="both"/>
              <w:rPr>
                <w:color w:val="FF0000"/>
                <w:sz w:val="24"/>
                <w:szCs w:val="24"/>
              </w:rPr>
            </w:pPr>
          </w:p>
          <w:p w:rsidR="007D5A81" w:rsidRPr="00AA4DDE" w:rsidRDefault="00FE562C" w:rsidP="007D5A81">
            <w:pPr>
              <w:jc w:val="both"/>
              <w:rPr>
                <w:rFonts w:cs="Arial"/>
                <w:sz w:val="24"/>
                <w:szCs w:val="24"/>
                <w:lang w:eastAsia="es-CO"/>
              </w:rPr>
            </w:pPr>
            <w:r w:rsidRPr="00AA4DDE">
              <w:rPr>
                <w:sz w:val="24"/>
                <w:szCs w:val="24"/>
              </w:rPr>
              <w:t xml:space="preserve">En virtud de lo anterior, se hace necesario generar una nueva versión del Reglamento de Cesantías en el cual se incorporan </w:t>
            </w:r>
            <w:r w:rsidR="007D5A81" w:rsidRPr="00AA4DDE">
              <w:rPr>
                <w:sz w:val="24"/>
                <w:szCs w:val="24"/>
              </w:rPr>
              <w:t>dentro del evento de retiro de cesantías parciales e</w:t>
            </w:r>
            <w:r w:rsidRPr="00AA4DDE">
              <w:rPr>
                <w:sz w:val="24"/>
                <w:szCs w:val="24"/>
              </w:rPr>
              <w:t>l pago</w:t>
            </w:r>
            <w:r w:rsidR="007D5A81" w:rsidRPr="00AA4DDE">
              <w:rPr>
                <w:sz w:val="24"/>
                <w:szCs w:val="24"/>
              </w:rPr>
              <w:t xml:space="preserve"> de “</w:t>
            </w:r>
            <w:r w:rsidR="007D5A81" w:rsidRPr="00AA4DDE">
              <w:rPr>
                <w:rFonts w:cs="Arial"/>
                <w:i/>
                <w:sz w:val="24"/>
                <w:szCs w:val="24"/>
                <w:lang w:eastAsia="es-CO"/>
              </w:rPr>
              <w:t>Ahorro programado o seguro educativo del afiliado, su cónyuge, o compañero(a) permanente o sus hijos</w:t>
            </w:r>
            <w:r w:rsidR="007D5A81" w:rsidRPr="00AA4DDE">
              <w:rPr>
                <w:rFonts w:cs="Arial"/>
                <w:sz w:val="24"/>
                <w:szCs w:val="24"/>
                <w:lang w:eastAsia="es-CO"/>
              </w:rPr>
              <w:t>”</w:t>
            </w:r>
          </w:p>
          <w:p w:rsidR="00011B0B" w:rsidRPr="00AA4DDE" w:rsidRDefault="00011B0B" w:rsidP="007E53A2">
            <w:pPr>
              <w:ind w:right="51"/>
              <w:jc w:val="both"/>
              <w:rPr>
                <w:sz w:val="24"/>
                <w:szCs w:val="24"/>
              </w:rPr>
            </w:pPr>
          </w:p>
          <w:p w:rsidR="00011B0B" w:rsidRPr="00AA4DDE" w:rsidRDefault="007D5A81" w:rsidP="00011B0B">
            <w:pPr>
              <w:ind w:right="51"/>
              <w:jc w:val="both"/>
              <w:rPr>
                <w:sz w:val="24"/>
                <w:szCs w:val="24"/>
              </w:rPr>
            </w:pPr>
            <w:r w:rsidRPr="00AA4DDE">
              <w:rPr>
                <w:sz w:val="24"/>
                <w:szCs w:val="24"/>
              </w:rPr>
              <w:t>Ahora bien, l</w:t>
            </w:r>
            <w:r w:rsidR="00011B0B" w:rsidRPr="00AA4DDE">
              <w:rPr>
                <w:sz w:val="24"/>
                <w:szCs w:val="24"/>
              </w:rPr>
              <w:t xml:space="preserve">os requisitos para estos retiros se contemplan </w:t>
            </w:r>
            <w:r w:rsidR="009556C9" w:rsidRPr="00AA4DDE">
              <w:rPr>
                <w:sz w:val="24"/>
                <w:szCs w:val="24"/>
              </w:rPr>
              <w:t>en e</w:t>
            </w:r>
            <w:r w:rsidR="00011B0B" w:rsidRPr="00AA4DDE">
              <w:rPr>
                <w:sz w:val="24"/>
                <w:szCs w:val="24"/>
              </w:rPr>
              <w:t>l procedimiento ACP-PR-027 RETIRO DE CESANTIAS y la lista de documentos ACP-FO-03</w:t>
            </w:r>
            <w:r w:rsidR="009556C9" w:rsidRPr="00AA4DDE">
              <w:rPr>
                <w:sz w:val="24"/>
                <w:szCs w:val="24"/>
              </w:rPr>
              <w:t>3</w:t>
            </w:r>
            <w:r w:rsidRPr="00AA4DDE">
              <w:rPr>
                <w:sz w:val="24"/>
                <w:szCs w:val="24"/>
              </w:rPr>
              <w:t xml:space="preserve">, los cuales </w:t>
            </w:r>
            <w:r w:rsidR="009556C9" w:rsidRPr="00AA4DDE">
              <w:rPr>
                <w:sz w:val="24"/>
                <w:szCs w:val="24"/>
              </w:rPr>
              <w:t>recogen lo que establece el D</w:t>
            </w:r>
            <w:r w:rsidRPr="00AA4DDE">
              <w:rPr>
                <w:sz w:val="24"/>
                <w:szCs w:val="24"/>
              </w:rPr>
              <w:t>ecreto 1562 de 2019 sobre el tema</w:t>
            </w:r>
            <w:r w:rsidR="00011B0B" w:rsidRPr="00AA4DDE">
              <w:rPr>
                <w:sz w:val="24"/>
                <w:szCs w:val="24"/>
              </w:rPr>
              <w:t>.</w:t>
            </w:r>
          </w:p>
          <w:p w:rsidR="00011B0B" w:rsidRPr="007E53A2" w:rsidRDefault="00011B0B" w:rsidP="00011B0B">
            <w:pPr>
              <w:ind w:right="51"/>
              <w:jc w:val="both"/>
              <w:rPr>
                <w:sz w:val="24"/>
                <w:szCs w:val="24"/>
              </w:rPr>
            </w:pPr>
          </w:p>
          <w:p w:rsidR="00A27B5D" w:rsidRDefault="00FE562C" w:rsidP="00A27B5D">
            <w:pPr>
              <w:ind w:right="51"/>
              <w:jc w:val="both"/>
              <w:rPr>
                <w:color w:val="FF0000"/>
                <w:sz w:val="24"/>
                <w:szCs w:val="24"/>
              </w:rPr>
            </w:pPr>
            <w:r w:rsidRPr="001E7837">
              <w:rPr>
                <w:sz w:val="24"/>
                <w:szCs w:val="24"/>
              </w:rPr>
              <w:t>Igualmente</w:t>
            </w:r>
            <w:r w:rsidR="001E7837">
              <w:rPr>
                <w:sz w:val="24"/>
                <w:szCs w:val="24"/>
              </w:rPr>
              <w:t>,</w:t>
            </w:r>
            <w:r w:rsidRPr="001E7837">
              <w:rPr>
                <w:sz w:val="24"/>
                <w:szCs w:val="24"/>
              </w:rPr>
              <w:t xml:space="preserve"> se </w:t>
            </w:r>
            <w:r w:rsidR="00A27B5D" w:rsidRPr="001E7837">
              <w:rPr>
                <w:sz w:val="24"/>
                <w:szCs w:val="24"/>
              </w:rPr>
              <w:t>recogen los lineamientos en relación con el pago de las cesantías cuando se trata de sustitución de emp</w:t>
            </w:r>
            <w:r w:rsidR="007E53A2">
              <w:rPr>
                <w:sz w:val="24"/>
                <w:szCs w:val="24"/>
              </w:rPr>
              <w:t>l</w:t>
            </w:r>
            <w:r w:rsidR="00A27B5D" w:rsidRPr="001E7837">
              <w:rPr>
                <w:sz w:val="24"/>
                <w:szCs w:val="24"/>
              </w:rPr>
              <w:t>eado o servicio militar</w:t>
            </w:r>
            <w:r w:rsidR="00A27B5D">
              <w:rPr>
                <w:color w:val="FF0000"/>
                <w:sz w:val="24"/>
                <w:szCs w:val="24"/>
              </w:rPr>
              <w:t>:</w:t>
            </w:r>
          </w:p>
          <w:p w:rsidR="00A27B5D" w:rsidRDefault="00A27B5D" w:rsidP="00A27B5D">
            <w:pPr>
              <w:ind w:right="51"/>
              <w:jc w:val="both"/>
              <w:rPr>
                <w:color w:val="FF0000"/>
                <w:sz w:val="24"/>
                <w:szCs w:val="24"/>
              </w:rPr>
            </w:pPr>
          </w:p>
          <w:p w:rsidR="00A27B5D" w:rsidRDefault="00A27B5D" w:rsidP="00A27B5D">
            <w:pPr>
              <w:pStyle w:val="Default"/>
              <w:ind w:left="720"/>
              <w:rPr>
                <w:b/>
                <w:i/>
                <w:iCs/>
                <w:color w:val="auto"/>
                <w:sz w:val="16"/>
                <w:szCs w:val="16"/>
              </w:rPr>
            </w:pPr>
            <w:r w:rsidRPr="00A27B5D">
              <w:rPr>
                <w:rFonts w:eastAsia="Times New Roman"/>
                <w:b/>
                <w:i/>
                <w:color w:val="auto"/>
                <w:sz w:val="16"/>
                <w:szCs w:val="16"/>
                <w:lang w:eastAsia="es-CO"/>
              </w:rPr>
              <w:t xml:space="preserve">16.1. </w:t>
            </w:r>
            <w:r w:rsidRPr="00A27B5D">
              <w:rPr>
                <w:b/>
                <w:i/>
                <w:iCs/>
                <w:color w:val="auto"/>
                <w:sz w:val="16"/>
                <w:szCs w:val="16"/>
              </w:rPr>
              <w:t>RETIRO EN CASO DE SUSTITUCIÓN DE EMPLEADORES</w:t>
            </w:r>
          </w:p>
          <w:p w:rsidR="00870C71" w:rsidRPr="00A27B5D" w:rsidRDefault="00870C71" w:rsidP="00A27B5D">
            <w:pPr>
              <w:pStyle w:val="Default"/>
              <w:ind w:left="720"/>
              <w:rPr>
                <w:b/>
                <w:i/>
                <w:iCs/>
                <w:color w:val="auto"/>
                <w:sz w:val="16"/>
                <w:szCs w:val="16"/>
              </w:rPr>
            </w:pPr>
          </w:p>
          <w:p w:rsidR="00A27B5D" w:rsidRPr="00A27B5D" w:rsidRDefault="00A27B5D" w:rsidP="00A27B5D">
            <w:pPr>
              <w:pStyle w:val="Default"/>
              <w:tabs>
                <w:tab w:val="left" w:pos="2700"/>
              </w:tabs>
              <w:ind w:left="720"/>
              <w:jc w:val="both"/>
              <w:rPr>
                <w:i/>
                <w:color w:val="auto"/>
                <w:sz w:val="16"/>
                <w:szCs w:val="16"/>
              </w:rPr>
            </w:pPr>
            <w:r w:rsidRPr="00A27B5D">
              <w:rPr>
                <w:i/>
                <w:color w:val="auto"/>
                <w:sz w:val="16"/>
                <w:szCs w:val="16"/>
              </w:rPr>
              <w:t>En caso de sustitución del empleador, el afiliado podrá retirar el auxilio de cesantía causado hasta la fecha de la sustitución, de acuerdo con lo establecido en los numerales 4º y 6º del artículo 69 del Código Sustantivo del Trabajo. Para tal efecto, el afiliado deberá presentar la solicitud correspondiente ante el FNA, acompañado del acuerdo suscrito entre el trabajador y el antiguo o el nuevo empleador, según el caso. En el caso de las cesantías causadas en poder del empleador, estas deberán ser pagadas al trabajador en los términos del acuerdo.</w:t>
            </w:r>
          </w:p>
          <w:p w:rsidR="00A27B5D" w:rsidRPr="00A27B5D" w:rsidRDefault="00A27B5D" w:rsidP="00A27B5D">
            <w:pPr>
              <w:pStyle w:val="Default"/>
              <w:tabs>
                <w:tab w:val="left" w:pos="2700"/>
              </w:tabs>
              <w:ind w:left="720"/>
              <w:jc w:val="both"/>
              <w:rPr>
                <w:i/>
                <w:color w:val="auto"/>
                <w:sz w:val="16"/>
                <w:szCs w:val="16"/>
              </w:rPr>
            </w:pPr>
            <w:r w:rsidRPr="00A27B5D">
              <w:rPr>
                <w:i/>
                <w:color w:val="auto"/>
                <w:sz w:val="16"/>
                <w:szCs w:val="16"/>
              </w:rPr>
              <w:t xml:space="preserve"> </w:t>
            </w:r>
          </w:p>
          <w:p w:rsidR="00A27B5D" w:rsidRPr="00A27B5D" w:rsidRDefault="00A27B5D" w:rsidP="00A27B5D">
            <w:pPr>
              <w:ind w:left="720"/>
              <w:jc w:val="both"/>
              <w:rPr>
                <w:rFonts w:cs="Arial"/>
                <w:b/>
                <w:i/>
                <w:sz w:val="16"/>
                <w:szCs w:val="16"/>
                <w:lang w:eastAsia="es-CO"/>
              </w:rPr>
            </w:pPr>
            <w:r w:rsidRPr="00A27B5D">
              <w:rPr>
                <w:rFonts w:cs="Arial"/>
                <w:b/>
                <w:i/>
                <w:sz w:val="16"/>
                <w:szCs w:val="16"/>
                <w:lang w:eastAsia="es-CO"/>
              </w:rPr>
              <w:t>16.2. RETIRO EN CASO DE PRESTAR SERVICIO MILITAR</w:t>
            </w:r>
          </w:p>
          <w:p w:rsidR="00A27B5D" w:rsidRPr="00A27B5D" w:rsidRDefault="00A27B5D" w:rsidP="00A27B5D">
            <w:pPr>
              <w:pStyle w:val="Default"/>
              <w:ind w:left="720"/>
              <w:rPr>
                <w:i/>
                <w:color w:val="auto"/>
                <w:sz w:val="16"/>
                <w:szCs w:val="16"/>
              </w:rPr>
            </w:pPr>
          </w:p>
          <w:p w:rsidR="00782409" w:rsidRDefault="00A27B5D" w:rsidP="007E53A2">
            <w:pPr>
              <w:pStyle w:val="CM16"/>
              <w:spacing w:after="100" w:afterAutospacing="1" w:line="240" w:lineRule="atLeast"/>
              <w:ind w:left="720"/>
              <w:jc w:val="both"/>
            </w:pPr>
            <w:r w:rsidRPr="00A27B5D">
              <w:rPr>
                <w:i/>
                <w:sz w:val="16"/>
                <w:szCs w:val="16"/>
              </w:rPr>
              <w:t>En caso de llamamiento ordinario o convocatoria de reservas para prestar el servicio militar, el afiliado podrá retirar el auxilio de cesantía causado hasta la fecha de la suspensión del contrato, de conformidad con lo dispuesto en el artículo 255 del Código Sustantivo del Trabajo. Para tal efecto, el afiliado deberá presentar carta de autorización de retiro expedida por el empleador</w:t>
            </w:r>
            <w:r w:rsidRPr="00691AF1">
              <w:t xml:space="preserve">. </w:t>
            </w:r>
          </w:p>
          <w:p w:rsidR="00200116" w:rsidRDefault="00200116" w:rsidP="00200116">
            <w:pPr>
              <w:suppressLineNumbers/>
              <w:ind w:right="34"/>
              <w:jc w:val="both"/>
              <w:rPr>
                <w:rFonts w:cs="Arial"/>
                <w:sz w:val="24"/>
                <w:szCs w:val="24"/>
                <w:lang w:eastAsia="es-CO"/>
              </w:rPr>
            </w:pPr>
            <w:r>
              <w:rPr>
                <w:rFonts w:cs="Arial"/>
                <w:sz w:val="24"/>
                <w:szCs w:val="24"/>
                <w:lang w:eastAsia="es-CO"/>
              </w:rPr>
              <w:t>Finalmente</w:t>
            </w:r>
            <w:r w:rsidRPr="00DF4520">
              <w:rPr>
                <w:rFonts w:cs="Arial"/>
                <w:sz w:val="24"/>
                <w:szCs w:val="24"/>
                <w:lang w:eastAsia="es-CO"/>
              </w:rPr>
              <w:t xml:space="preserve">, </w:t>
            </w:r>
            <w:r>
              <w:rPr>
                <w:rFonts w:cs="Arial"/>
                <w:sz w:val="24"/>
                <w:szCs w:val="24"/>
                <w:lang w:eastAsia="es-CO"/>
              </w:rPr>
              <w:t xml:space="preserve">se </w:t>
            </w:r>
            <w:r w:rsidRPr="00DF4520">
              <w:rPr>
                <w:rFonts w:cs="Arial"/>
                <w:sz w:val="24"/>
                <w:szCs w:val="24"/>
                <w:lang w:eastAsia="es-CO"/>
              </w:rPr>
              <w:t>defin</w:t>
            </w:r>
            <w:r>
              <w:rPr>
                <w:rFonts w:cs="Arial"/>
                <w:sz w:val="24"/>
                <w:szCs w:val="24"/>
                <w:lang w:eastAsia="es-CO"/>
              </w:rPr>
              <w:t>en</w:t>
            </w:r>
            <w:r w:rsidRPr="00DF4520">
              <w:rPr>
                <w:rFonts w:cs="Arial"/>
                <w:sz w:val="24"/>
                <w:szCs w:val="24"/>
                <w:lang w:eastAsia="es-CO"/>
              </w:rPr>
              <w:t xml:space="preserve"> algunos conceptos sobre n</w:t>
            </w:r>
            <w:r>
              <w:rPr>
                <w:rFonts w:cs="Arial"/>
                <w:sz w:val="24"/>
                <w:szCs w:val="24"/>
                <w:lang w:eastAsia="es-CO"/>
              </w:rPr>
              <w:t xml:space="preserve">ovedad monetaria y no monetaria, </w:t>
            </w:r>
            <w:r w:rsidRPr="00900E09">
              <w:rPr>
                <w:rFonts w:cs="Arial"/>
                <w:sz w:val="24"/>
                <w:szCs w:val="24"/>
                <w:lang w:eastAsia="es-CO"/>
              </w:rPr>
              <w:t>se realizan precisiones sobre las fórmulas diseñadas para dar cumplimiento a lo previsto en los Artículos 224 y 225 de la Ley 1955 de 2019, respecto al reconocimiento de intereses y protección contra la pérdida del valor adquisitivo de la moneda, así como la asignación de fechas a aplicar en el reporte de cesantías para entidades públicas y privadas</w:t>
            </w:r>
            <w:r>
              <w:rPr>
                <w:rFonts w:cs="Arial"/>
                <w:color w:val="FF0000"/>
                <w:sz w:val="24"/>
                <w:szCs w:val="24"/>
                <w:lang w:eastAsia="es-CO"/>
              </w:rPr>
              <w:t xml:space="preserve">, </w:t>
            </w:r>
            <w:r>
              <w:rPr>
                <w:rFonts w:cs="Arial"/>
                <w:sz w:val="24"/>
                <w:szCs w:val="24"/>
                <w:lang w:eastAsia="es-CO"/>
              </w:rPr>
              <w:t>se precisan algunos aspectos de</w:t>
            </w:r>
            <w:r w:rsidRPr="00DF4520">
              <w:rPr>
                <w:rFonts w:cs="Arial"/>
                <w:sz w:val="24"/>
                <w:szCs w:val="24"/>
                <w:lang w:eastAsia="es-CO"/>
              </w:rPr>
              <w:t>l pago de cesantías definitivas por fallecimiento del afiliado</w:t>
            </w:r>
            <w:r>
              <w:rPr>
                <w:rFonts w:cs="Arial"/>
                <w:sz w:val="24"/>
                <w:szCs w:val="24"/>
                <w:lang w:eastAsia="es-CO"/>
              </w:rPr>
              <w:t xml:space="preserve"> y se</w:t>
            </w:r>
            <w:r w:rsidRPr="00DF4520">
              <w:rPr>
                <w:rFonts w:cs="Arial"/>
                <w:sz w:val="24"/>
                <w:szCs w:val="24"/>
                <w:lang w:eastAsia="es-CO"/>
              </w:rPr>
              <w:t xml:space="preserve"> </w:t>
            </w:r>
            <w:r>
              <w:rPr>
                <w:rFonts w:cs="Arial"/>
                <w:sz w:val="24"/>
                <w:szCs w:val="24"/>
                <w:lang w:eastAsia="es-CO"/>
              </w:rPr>
              <w:t>realizan algunos ajustes de forma al documento.</w:t>
            </w:r>
          </w:p>
          <w:p w:rsidR="00200116" w:rsidRDefault="00200116" w:rsidP="00A27B5D">
            <w:pPr>
              <w:suppressLineNumbers/>
              <w:ind w:right="34"/>
              <w:jc w:val="both"/>
              <w:rPr>
                <w:rFonts w:cs="Arial"/>
                <w:sz w:val="24"/>
                <w:szCs w:val="24"/>
                <w:lang w:eastAsia="es-CO"/>
              </w:rPr>
            </w:pPr>
          </w:p>
          <w:p w:rsidR="00A27B5D" w:rsidRPr="00557544" w:rsidRDefault="00A27B5D" w:rsidP="00A27B5D">
            <w:pPr>
              <w:suppressLineNumbers/>
              <w:ind w:right="34"/>
              <w:jc w:val="both"/>
            </w:pPr>
          </w:p>
        </w:tc>
      </w:tr>
      <w:tr w:rsidR="00A56AE8" w:rsidTr="00692C91">
        <w:trPr>
          <w:trHeight w:val="813"/>
        </w:trPr>
        <w:tc>
          <w:tcPr>
            <w:tcW w:w="8977" w:type="dxa"/>
          </w:tcPr>
          <w:p w:rsidR="003B08BF" w:rsidRDefault="003B08BF" w:rsidP="00814F54">
            <w:pPr>
              <w:jc w:val="both"/>
              <w:rPr>
                <w:rFonts w:cs="Arial"/>
                <w:b/>
                <w:sz w:val="24"/>
                <w:szCs w:val="24"/>
              </w:rPr>
            </w:pPr>
          </w:p>
          <w:p w:rsidR="002B1F4F" w:rsidRDefault="004D71E2" w:rsidP="009F11C6">
            <w:pPr>
              <w:jc w:val="both"/>
            </w:pPr>
            <w:r>
              <w:rPr>
                <w:rFonts w:cs="Arial"/>
                <w:b/>
                <w:sz w:val="24"/>
                <w:szCs w:val="24"/>
              </w:rPr>
              <w:t>Á</w:t>
            </w:r>
            <w:r w:rsidR="00557544" w:rsidRPr="008A563D">
              <w:rPr>
                <w:rFonts w:cs="Arial"/>
                <w:b/>
                <w:sz w:val="24"/>
                <w:szCs w:val="24"/>
              </w:rPr>
              <w:t>MBITO DE APLICACIÓN DEL RESPECTIVO ACTO Y SUJETO A QUIEN VA DIRIGIDO</w:t>
            </w:r>
            <w:r w:rsidR="00557544">
              <w:rPr>
                <w:rFonts w:cs="Arial"/>
                <w:b/>
                <w:sz w:val="24"/>
                <w:szCs w:val="24"/>
              </w:rPr>
              <w:t>:</w:t>
            </w:r>
            <w:r w:rsidR="004F7BFB">
              <w:rPr>
                <w:rFonts w:cs="Arial"/>
                <w:b/>
                <w:sz w:val="24"/>
                <w:szCs w:val="24"/>
              </w:rPr>
              <w:t xml:space="preserve"> </w:t>
            </w:r>
            <w:r w:rsidR="004F7BFB" w:rsidRPr="004F7BFB">
              <w:rPr>
                <w:rFonts w:cs="Arial"/>
                <w:sz w:val="24"/>
                <w:szCs w:val="24"/>
              </w:rPr>
              <w:t>El proyecto va dirigido a los afiliados</w:t>
            </w:r>
            <w:r w:rsidR="002B4CAC">
              <w:rPr>
                <w:rFonts w:cs="Arial"/>
                <w:sz w:val="24"/>
                <w:szCs w:val="24"/>
              </w:rPr>
              <w:t xml:space="preserve"> por cesantías </w:t>
            </w:r>
            <w:r w:rsidR="004F7BFB" w:rsidRPr="004F7BFB">
              <w:rPr>
                <w:rFonts w:cs="Arial"/>
                <w:sz w:val="24"/>
                <w:szCs w:val="24"/>
              </w:rPr>
              <w:t>al Fondo Nacional del Ahorro</w:t>
            </w:r>
            <w:r w:rsidR="00202777">
              <w:rPr>
                <w:rFonts w:cs="Arial"/>
                <w:sz w:val="24"/>
                <w:szCs w:val="24"/>
              </w:rPr>
              <w:t>.</w:t>
            </w:r>
          </w:p>
        </w:tc>
      </w:tr>
      <w:tr w:rsidR="00A56AE8" w:rsidTr="00692C91">
        <w:trPr>
          <w:trHeight w:val="414"/>
        </w:trPr>
        <w:tc>
          <w:tcPr>
            <w:tcW w:w="8977" w:type="dxa"/>
          </w:tcPr>
          <w:p w:rsidR="002B1F4F" w:rsidRDefault="002B1F4F" w:rsidP="005531C7">
            <w:pPr>
              <w:pStyle w:val="Ttulo2"/>
              <w:ind w:right="72"/>
              <w:jc w:val="both"/>
              <w:outlineLvl w:val="1"/>
              <w:rPr>
                <w:rFonts w:cs="Arial"/>
                <w:sz w:val="24"/>
                <w:szCs w:val="24"/>
              </w:rPr>
            </w:pPr>
          </w:p>
          <w:p w:rsidR="002B1F4F" w:rsidRPr="002B1F4F" w:rsidRDefault="00FD3B2A" w:rsidP="002B1F4F">
            <w:pPr>
              <w:pStyle w:val="Ttulo2"/>
              <w:ind w:right="72"/>
              <w:jc w:val="both"/>
              <w:outlineLvl w:val="1"/>
            </w:pPr>
            <w:r w:rsidRPr="00CD06A4">
              <w:rPr>
                <w:rFonts w:cs="Arial"/>
                <w:sz w:val="24"/>
                <w:szCs w:val="24"/>
              </w:rPr>
              <w:t>VIABILIDAD JURÍDICA</w:t>
            </w:r>
            <w:r>
              <w:rPr>
                <w:rFonts w:cs="Arial"/>
                <w:b w:val="0"/>
                <w:sz w:val="24"/>
                <w:szCs w:val="24"/>
              </w:rPr>
              <w:t xml:space="preserve">: </w:t>
            </w:r>
            <w:r w:rsidR="004611E9">
              <w:rPr>
                <w:rFonts w:cs="Arial"/>
                <w:b w:val="0"/>
                <w:sz w:val="24"/>
                <w:szCs w:val="24"/>
              </w:rPr>
              <w:t>El proyecto cuenta con viabilidad jurídica</w:t>
            </w:r>
            <w:r w:rsidR="00DD7542">
              <w:rPr>
                <w:rFonts w:cs="Arial"/>
                <w:b w:val="0"/>
                <w:sz w:val="24"/>
                <w:szCs w:val="24"/>
              </w:rPr>
              <w:t xml:space="preserve"> impartida por la Oficina Jurídica de la Entidad</w:t>
            </w:r>
            <w:r w:rsidR="005531C7">
              <w:rPr>
                <w:rFonts w:cs="Arial"/>
                <w:b w:val="0"/>
                <w:sz w:val="24"/>
                <w:szCs w:val="24"/>
              </w:rPr>
              <w:t>.</w:t>
            </w:r>
          </w:p>
          <w:p w:rsidR="005D4E44" w:rsidRPr="005D4E44" w:rsidRDefault="005D4E44" w:rsidP="005D4E44"/>
        </w:tc>
      </w:tr>
      <w:tr w:rsidR="00A56AE8" w:rsidTr="009C2732">
        <w:trPr>
          <w:trHeight w:val="511"/>
        </w:trPr>
        <w:tc>
          <w:tcPr>
            <w:tcW w:w="8977" w:type="dxa"/>
          </w:tcPr>
          <w:p w:rsidR="003B08BF" w:rsidRDefault="003B08BF" w:rsidP="003B08BF">
            <w:pPr>
              <w:jc w:val="both"/>
              <w:rPr>
                <w:rFonts w:cs="Arial"/>
                <w:b/>
                <w:sz w:val="24"/>
                <w:szCs w:val="24"/>
              </w:rPr>
            </w:pPr>
          </w:p>
          <w:p w:rsidR="0025563A" w:rsidRDefault="00AA6BD0" w:rsidP="003B08BF">
            <w:pPr>
              <w:tabs>
                <w:tab w:val="left" w:pos="4245"/>
              </w:tabs>
              <w:jc w:val="both"/>
              <w:rPr>
                <w:rFonts w:cs="Arial"/>
                <w:sz w:val="24"/>
                <w:szCs w:val="24"/>
              </w:rPr>
            </w:pPr>
            <w:r w:rsidRPr="008A563D">
              <w:rPr>
                <w:rFonts w:cs="Arial"/>
                <w:b/>
                <w:sz w:val="24"/>
                <w:szCs w:val="24"/>
              </w:rPr>
              <w:t>IMPACTO ECONÓMICO</w:t>
            </w:r>
            <w:r w:rsidR="005203A3">
              <w:rPr>
                <w:rFonts w:cs="Arial"/>
                <w:b/>
                <w:sz w:val="24"/>
                <w:szCs w:val="24"/>
              </w:rPr>
              <w:t>:</w:t>
            </w:r>
            <w:r w:rsidRPr="008A563D">
              <w:rPr>
                <w:rFonts w:cs="Arial"/>
                <w:b/>
                <w:sz w:val="24"/>
                <w:szCs w:val="24"/>
              </w:rPr>
              <w:t xml:space="preserve"> </w:t>
            </w:r>
            <w:r w:rsidR="00EC7DF5">
              <w:rPr>
                <w:rFonts w:cs="Arial"/>
                <w:sz w:val="24"/>
                <w:szCs w:val="24"/>
              </w:rPr>
              <w:t>No aplica</w:t>
            </w:r>
            <w:r w:rsidR="003B08BF">
              <w:rPr>
                <w:rFonts w:cs="Arial"/>
                <w:sz w:val="24"/>
                <w:szCs w:val="24"/>
              </w:rPr>
              <w:tab/>
            </w:r>
          </w:p>
          <w:p w:rsidR="003B08BF" w:rsidRDefault="003B08BF" w:rsidP="003B08BF">
            <w:pPr>
              <w:tabs>
                <w:tab w:val="left" w:pos="4245"/>
              </w:tabs>
              <w:jc w:val="both"/>
            </w:pPr>
          </w:p>
        </w:tc>
      </w:tr>
      <w:tr w:rsidR="00A56AE8" w:rsidTr="00692C91">
        <w:trPr>
          <w:trHeight w:val="432"/>
        </w:trPr>
        <w:tc>
          <w:tcPr>
            <w:tcW w:w="8977" w:type="dxa"/>
          </w:tcPr>
          <w:p w:rsidR="003B08BF" w:rsidRDefault="003B08BF" w:rsidP="003B08BF">
            <w:pPr>
              <w:jc w:val="both"/>
              <w:rPr>
                <w:rFonts w:cs="Arial"/>
                <w:b/>
                <w:sz w:val="24"/>
                <w:szCs w:val="24"/>
              </w:rPr>
            </w:pPr>
          </w:p>
          <w:p w:rsidR="00D41EE3" w:rsidRDefault="00DC41F0" w:rsidP="003B08BF">
            <w:pPr>
              <w:jc w:val="both"/>
              <w:rPr>
                <w:rFonts w:cs="Arial"/>
                <w:sz w:val="24"/>
                <w:szCs w:val="24"/>
              </w:rPr>
            </w:pPr>
            <w:r>
              <w:rPr>
                <w:rFonts w:cs="Arial"/>
                <w:b/>
                <w:sz w:val="24"/>
                <w:szCs w:val="24"/>
              </w:rPr>
              <w:t xml:space="preserve">DISPONIBILIDAD PRESUPUESTAL. </w:t>
            </w:r>
            <w:r w:rsidR="001D7466">
              <w:rPr>
                <w:rFonts w:cs="Arial"/>
                <w:b/>
                <w:sz w:val="24"/>
                <w:szCs w:val="24"/>
              </w:rPr>
              <w:t xml:space="preserve"> </w:t>
            </w:r>
            <w:r w:rsidR="001D7466" w:rsidRPr="001D7466">
              <w:rPr>
                <w:rFonts w:cs="Arial"/>
                <w:sz w:val="24"/>
                <w:szCs w:val="24"/>
              </w:rPr>
              <w:t>No aplica</w:t>
            </w:r>
          </w:p>
          <w:p w:rsidR="003B08BF" w:rsidRDefault="003B08BF" w:rsidP="003B08BF">
            <w:pPr>
              <w:jc w:val="both"/>
            </w:pPr>
          </w:p>
        </w:tc>
      </w:tr>
      <w:tr w:rsidR="00A56AE8" w:rsidTr="009C2732">
        <w:trPr>
          <w:trHeight w:val="806"/>
        </w:trPr>
        <w:tc>
          <w:tcPr>
            <w:tcW w:w="8977" w:type="dxa"/>
          </w:tcPr>
          <w:p w:rsidR="00D41EE3" w:rsidRDefault="00AA6BD0" w:rsidP="001D7466">
            <w:pPr>
              <w:jc w:val="both"/>
              <w:rPr>
                <w:rFonts w:cs="Arial"/>
                <w:sz w:val="24"/>
                <w:szCs w:val="24"/>
              </w:rPr>
            </w:pPr>
            <w:r w:rsidRPr="008A563D">
              <w:rPr>
                <w:rFonts w:cs="Arial"/>
                <w:b/>
                <w:sz w:val="24"/>
                <w:szCs w:val="24"/>
              </w:rPr>
              <w:t>IMPACTO MEDIOAMBIENTAL O SOBRE EL PATRIMONIO CULTURAL DE LA NACIÓN</w:t>
            </w:r>
            <w:r w:rsidR="0021642F">
              <w:rPr>
                <w:rFonts w:cs="Arial"/>
                <w:b/>
                <w:sz w:val="24"/>
                <w:szCs w:val="24"/>
              </w:rPr>
              <w:t xml:space="preserve">. </w:t>
            </w:r>
            <w:r w:rsidR="007B44A8">
              <w:rPr>
                <w:rFonts w:cs="Arial"/>
                <w:b/>
                <w:sz w:val="24"/>
                <w:szCs w:val="24"/>
              </w:rPr>
              <w:t xml:space="preserve">  </w:t>
            </w:r>
            <w:r w:rsidR="001D7466">
              <w:rPr>
                <w:rFonts w:cs="Arial"/>
                <w:sz w:val="24"/>
                <w:szCs w:val="24"/>
              </w:rPr>
              <w:t>No aplica</w:t>
            </w:r>
          </w:p>
          <w:p w:rsidR="007E53A2" w:rsidRDefault="007E53A2" w:rsidP="001D7466">
            <w:pPr>
              <w:jc w:val="both"/>
            </w:pPr>
          </w:p>
        </w:tc>
      </w:tr>
      <w:tr w:rsidR="00A56AE8" w:rsidTr="009C2732">
        <w:trPr>
          <w:trHeight w:val="1085"/>
        </w:trPr>
        <w:tc>
          <w:tcPr>
            <w:tcW w:w="8977" w:type="dxa"/>
          </w:tcPr>
          <w:p w:rsidR="00C65C5D" w:rsidRDefault="00AA6BD0" w:rsidP="00C47989">
            <w:pPr>
              <w:jc w:val="both"/>
              <w:rPr>
                <w:rFonts w:cs="Arial"/>
                <w:sz w:val="24"/>
                <w:szCs w:val="24"/>
              </w:rPr>
            </w:pPr>
            <w:r w:rsidRPr="008A563D">
              <w:rPr>
                <w:rFonts w:cs="Arial"/>
                <w:b/>
                <w:sz w:val="24"/>
                <w:szCs w:val="24"/>
              </w:rPr>
              <w:t>CUMPLIMIENTO DE LOS REQUISITOS DE CONSULTA Y PUBLICIDAD</w:t>
            </w:r>
            <w:r w:rsidR="00426971">
              <w:rPr>
                <w:rFonts w:cs="Arial"/>
                <w:sz w:val="24"/>
                <w:szCs w:val="24"/>
              </w:rPr>
              <w:t>.</w:t>
            </w:r>
            <w:r w:rsidRPr="004F7BFB">
              <w:rPr>
                <w:rFonts w:cs="Arial"/>
                <w:sz w:val="24"/>
                <w:szCs w:val="24"/>
              </w:rPr>
              <w:t xml:space="preserve"> </w:t>
            </w:r>
          </w:p>
          <w:p w:rsidR="00C47989" w:rsidRDefault="00C47989" w:rsidP="00C47989">
            <w:pPr>
              <w:jc w:val="both"/>
              <w:rPr>
                <w:rFonts w:cs="Arial"/>
                <w:sz w:val="24"/>
                <w:szCs w:val="24"/>
              </w:rPr>
            </w:pPr>
          </w:p>
          <w:p w:rsidR="00C47989" w:rsidRDefault="005531C7" w:rsidP="00C47989">
            <w:pPr>
              <w:jc w:val="both"/>
              <w:rPr>
                <w:rFonts w:cs="Arial"/>
                <w:sz w:val="24"/>
                <w:szCs w:val="24"/>
              </w:rPr>
            </w:pPr>
            <w:r>
              <w:rPr>
                <w:rFonts w:cs="Arial"/>
                <w:sz w:val="24"/>
                <w:szCs w:val="24"/>
              </w:rPr>
              <w:t>La publicación se</w:t>
            </w:r>
            <w:r w:rsidR="009F11C6">
              <w:rPr>
                <w:rFonts w:cs="Arial"/>
                <w:sz w:val="24"/>
                <w:szCs w:val="24"/>
              </w:rPr>
              <w:t xml:space="preserve"> dio </w:t>
            </w:r>
            <w:r>
              <w:rPr>
                <w:rFonts w:cs="Arial"/>
                <w:sz w:val="24"/>
                <w:szCs w:val="24"/>
              </w:rPr>
              <w:t>por el término de 8 días del</w:t>
            </w:r>
            <w:r w:rsidR="002B4CAC">
              <w:rPr>
                <w:rFonts w:cs="Arial"/>
                <w:sz w:val="24"/>
                <w:szCs w:val="24"/>
              </w:rPr>
              <w:t xml:space="preserve"> </w:t>
            </w:r>
            <w:r w:rsidR="00900E09">
              <w:rPr>
                <w:rFonts w:cs="Arial"/>
                <w:sz w:val="24"/>
                <w:szCs w:val="24"/>
              </w:rPr>
              <w:t>___</w:t>
            </w:r>
            <w:r>
              <w:rPr>
                <w:rFonts w:cs="Arial"/>
                <w:sz w:val="24"/>
                <w:szCs w:val="24"/>
              </w:rPr>
              <w:t>al</w:t>
            </w:r>
            <w:r w:rsidR="002B4CAC">
              <w:rPr>
                <w:rFonts w:cs="Arial"/>
                <w:sz w:val="24"/>
                <w:szCs w:val="24"/>
              </w:rPr>
              <w:t xml:space="preserve"> </w:t>
            </w:r>
            <w:r w:rsidR="00900E09">
              <w:rPr>
                <w:rFonts w:cs="Arial"/>
                <w:sz w:val="24"/>
                <w:szCs w:val="24"/>
              </w:rPr>
              <w:t>___</w:t>
            </w:r>
            <w:r w:rsidR="001D7466">
              <w:rPr>
                <w:rFonts w:cs="Arial"/>
                <w:sz w:val="24"/>
                <w:szCs w:val="24"/>
              </w:rPr>
              <w:t xml:space="preserve"> </w:t>
            </w:r>
            <w:r>
              <w:rPr>
                <w:rFonts w:cs="Arial"/>
                <w:sz w:val="24"/>
                <w:szCs w:val="24"/>
              </w:rPr>
              <w:t xml:space="preserve">de </w:t>
            </w:r>
            <w:r w:rsidR="00900E09">
              <w:rPr>
                <w:rFonts w:cs="Arial"/>
                <w:sz w:val="24"/>
                <w:szCs w:val="24"/>
              </w:rPr>
              <w:t>____________</w:t>
            </w:r>
            <w:r w:rsidR="009F11C6">
              <w:rPr>
                <w:rFonts w:cs="Arial"/>
                <w:sz w:val="24"/>
                <w:szCs w:val="24"/>
              </w:rPr>
              <w:t xml:space="preserve"> </w:t>
            </w:r>
            <w:proofErr w:type="spellStart"/>
            <w:r>
              <w:rPr>
                <w:rFonts w:cs="Arial"/>
                <w:sz w:val="24"/>
                <w:szCs w:val="24"/>
              </w:rPr>
              <w:t>de</w:t>
            </w:r>
            <w:proofErr w:type="spellEnd"/>
            <w:r>
              <w:rPr>
                <w:rFonts w:cs="Arial"/>
                <w:sz w:val="24"/>
                <w:szCs w:val="24"/>
              </w:rPr>
              <w:t xml:space="preserve"> 2020. </w:t>
            </w:r>
          </w:p>
          <w:p w:rsidR="00C47989" w:rsidRDefault="00C47989" w:rsidP="00C47989">
            <w:pPr>
              <w:jc w:val="both"/>
            </w:pPr>
          </w:p>
        </w:tc>
      </w:tr>
      <w:tr w:rsidR="00A971D7" w:rsidTr="009C2732">
        <w:trPr>
          <w:trHeight w:val="701"/>
        </w:trPr>
        <w:tc>
          <w:tcPr>
            <w:tcW w:w="8977" w:type="dxa"/>
          </w:tcPr>
          <w:p w:rsidR="000839F7" w:rsidRDefault="000839F7" w:rsidP="00814F54">
            <w:pPr>
              <w:jc w:val="both"/>
              <w:rPr>
                <w:rFonts w:cs="Arial"/>
                <w:b/>
                <w:sz w:val="24"/>
                <w:szCs w:val="24"/>
              </w:rPr>
            </w:pPr>
          </w:p>
          <w:p w:rsidR="009F5EF8" w:rsidRDefault="00D460FA" w:rsidP="00900E09">
            <w:pPr>
              <w:jc w:val="both"/>
              <w:rPr>
                <w:rFonts w:cs="Arial"/>
                <w:b/>
                <w:sz w:val="24"/>
                <w:szCs w:val="24"/>
              </w:rPr>
            </w:pPr>
            <w:r>
              <w:rPr>
                <w:rFonts w:cs="Arial"/>
                <w:b/>
                <w:sz w:val="24"/>
                <w:szCs w:val="24"/>
              </w:rPr>
              <w:t>COMENTARIOS DE LOS CIUDADANOS</w:t>
            </w:r>
            <w:r w:rsidR="000839F7">
              <w:rPr>
                <w:rFonts w:cs="Arial"/>
                <w:b/>
                <w:sz w:val="24"/>
                <w:szCs w:val="24"/>
              </w:rPr>
              <w:t>:</w:t>
            </w:r>
            <w:r w:rsidR="004F7BFB">
              <w:rPr>
                <w:rFonts w:cs="Arial"/>
                <w:b/>
                <w:sz w:val="24"/>
                <w:szCs w:val="24"/>
              </w:rPr>
              <w:t xml:space="preserve"> </w:t>
            </w:r>
          </w:p>
        </w:tc>
      </w:tr>
      <w:tr w:rsidR="00A56AE8" w:rsidTr="009C2732">
        <w:trPr>
          <w:trHeight w:val="279"/>
        </w:trPr>
        <w:tc>
          <w:tcPr>
            <w:tcW w:w="8977" w:type="dxa"/>
          </w:tcPr>
          <w:p w:rsidR="002606A2" w:rsidRDefault="002606A2" w:rsidP="00814F54">
            <w:pPr>
              <w:jc w:val="both"/>
              <w:rPr>
                <w:rFonts w:cs="Arial"/>
                <w:b/>
                <w:sz w:val="24"/>
                <w:szCs w:val="24"/>
              </w:rPr>
            </w:pPr>
          </w:p>
          <w:p w:rsidR="002606A2" w:rsidRDefault="00AA6BD0" w:rsidP="000E0AF6">
            <w:pPr>
              <w:jc w:val="both"/>
              <w:rPr>
                <w:rFonts w:cs="Arial"/>
                <w:sz w:val="24"/>
                <w:szCs w:val="24"/>
              </w:rPr>
            </w:pPr>
            <w:r w:rsidRPr="008A563D">
              <w:rPr>
                <w:rFonts w:cs="Arial"/>
                <w:b/>
                <w:sz w:val="24"/>
                <w:szCs w:val="24"/>
              </w:rPr>
              <w:t>ASPECTOS ADICIONALES IMPORTANTES</w:t>
            </w:r>
            <w:r>
              <w:rPr>
                <w:rFonts w:cs="Arial"/>
                <w:b/>
                <w:sz w:val="24"/>
                <w:szCs w:val="24"/>
              </w:rPr>
              <w:t>:</w:t>
            </w:r>
            <w:r w:rsidR="0065663E">
              <w:rPr>
                <w:rFonts w:cs="Arial"/>
                <w:b/>
                <w:sz w:val="24"/>
                <w:szCs w:val="24"/>
              </w:rPr>
              <w:t xml:space="preserve"> </w:t>
            </w:r>
            <w:r w:rsidR="000E0AF6" w:rsidRPr="000E0AF6">
              <w:rPr>
                <w:rFonts w:cs="Arial"/>
                <w:sz w:val="24"/>
                <w:szCs w:val="24"/>
              </w:rPr>
              <w:t xml:space="preserve">Se trata de un tema de cumplimento de la Ley </w:t>
            </w:r>
            <w:r w:rsidR="000E0AF6">
              <w:rPr>
                <w:rFonts w:cs="Arial"/>
                <w:sz w:val="24"/>
                <w:szCs w:val="24"/>
              </w:rPr>
              <w:t xml:space="preserve">1071 de 2006 y el Decreto 1562 de 2019. </w:t>
            </w:r>
          </w:p>
          <w:p w:rsidR="002B1F4F" w:rsidRDefault="002B1F4F" w:rsidP="000E0AF6">
            <w:pPr>
              <w:jc w:val="both"/>
            </w:pPr>
          </w:p>
        </w:tc>
      </w:tr>
      <w:tr w:rsidR="00163713" w:rsidTr="000839F7">
        <w:trPr>
          <w:trHeight w:val="872"/>
        </w:trPr>
        <w:tc>
          <w:tcPr>
            <w:tcW w:w="8977" w:type="dxa"/>
          </w:tcPr>
          <w:p w:rsidR="00163713" w:rsidRDefault="00163713" w:rsidP="00814F54">
            <w:pPr>
              <w:jc w:val="both"/>
              <w:rPr>
                <w:rFonts w:cs="Arial"/>
                <w:b/>
                <w:sz w:val="24"/>
                <w:szCs w:val="24"/>
              </w:rPr>
            </w:pPr>
          </w:p>
          <w:p w:rsidR="00825584" w:rsidRDefault="00163713" w:rsidP="00825584">
            <w:pPr>
              <w:jc w:val="both"/>
              <w:rPr>
                <w:rFonts w:cs="Arial"/>
                <w:sz w:val="24"/>
                <w:szCs w:val="24"/>
              </w:rPr>
            </w:pPr>
            <w:r w:rsidRPr="008A563D">
              <w:rPr>
                <w:rFonts w:cs="Arial"/>
                <w:b/>
                <w:sz w:val="24"/>
                <w:szCs w:val="24"/>
              </w:rPr>
              <w:t>IMPACTO QUE TENDRÁ EN LA SEGURIDAD JURÍDICA</w:t>
            </w:r>
            <w:r w:rsidR="00FA5FBB">
              <w:rPr>
                <w:rFonts w:cs="Arial"/>
                <w:b/>
                <w:sz w:val="24"/>
                <w:szCs w:val="24"/>
              </w:rPr>
              <w:t>:</w:t>
            </w:r>
            <w:r w:rsidR="00825584">
              <w:rPr>
                <w:rFonts w:cs="Arial"/>
                <w:b/>
                <w:sz w:val="24"/>
                <w:szCs w:val="24"/>
              </w:rPr>
              <w:t xml:space="preserve"> </w:t>
            </w:r>
            <w:r w:rsidR="00825584" w:rsidRPr="008A563D">
              <w:rPr>
                <w:rFonts w:cs="Arial"/>
                <w:sz w:val="24"/>
                <w:szCs w:val="24"/>
              </w:rPr>
              <w:t>En caso de que dentro del año inmediatamente anterior ya se hubiere reglamentado la misma materia</w:t>
            </w:r>
            <w:r w:rsidR="00825584">
              <w:rPr>
                <w:rFonts w:cs="Arial"/>
                <w:sz w:val="24"/>
                <w:szCs w:val="24"/>
              </w:rPr>
              <w:t>.</w:t>
            </w:r>
          </w:p>
          <w:p w:rsidR="00825584" w:rsidRDefault="00825584" w:rsidP="00825584">
            <w:pPr>
              <w:jc w:val="both"/>
              <w:rPr>
                <w:rFonts w:cs="Arial"/>
                <w:sz w:val="24"/>
                <w:szCs w:val="24"/>
              </w:rPr>
            </w:pPr>
          </w:p>
          <w:p w:rsidR="003B08BF" w:rsidRPr="001360E2" w:rsidRDefault="00825584" w:rsidP="003B08BF">
            <w:pPr>
              <w:jc w:val="both"/>
              <w:rPr>
                <w:rFonts w:cs="Arial"/>
                <w:sz w:val="24"/>
                <w:szCs w:val="24"/>
              </w:rPr>
            </w:pPr>
            <w:r w:rsidRPr="00202777">
              <w:rPr>
                <w:rFonts w:cs="Arial"/>
                <w:sz w:val="24"/>
                <w:szCs w:val="24"/>
              </w:rPr>
              <w:t>Por tratarse de un reglamento de producto</w:t>
            </w:r>
            <w:r>
              <w:rPr>
                <w:rFonts w:cs="Arial"/>
                <w:sz w:val="24"/>
                <w:szCs w:val="24"/>
              </w:rPr>
              <w:t xml:space="preserve"> –CESANTÍAS-</w:t>
            </w:r>
            <w:r w:rsidR="002349B4">
              <w:rPr>
                <w:rFonts w:cs="Arial"/>
                <w:sz w:val="24"/>
                <w:szCs w:val="24"/>
              </w:rPr>
              <w:t xml:space="preserve"> </w:t>
            </w:r>
            <w:r w:rsidRPr="00202777">
              <w:rPr>
                <w:rFonts w:cs="Arial"/>
                <w:sz w:val="24"/>
                <w:szCs w:val="24"/>
              </w:rPr>
              <w:t>es</w:t>
            </w:r>
            <w:r w:rsidR="002349B4">
              <w:rPr>
                <w:rFonts w:cs="Arial"/>
                <w:sz w:val="24"/>
                <w:szCs w:val="24"/>
              </w:rPr>
              <w:t xml:space="preserve"> </w:t>
            </w:r>
            <w:r w:rsidRPr="00202777">
              <w:rPr>
                <w:rFonts w:cs="Arial"/>
                <w:sz w:val="24"/>
                <w:szCs w:val="24"/>
              </w:rPr>
              <w:t xml:space="preserve">usual las modificaciones al mismo por cuanto es dinámico y debe estar en constante </w:t>
            </w:r>
            <w:r w:rsidR="001D7466" w:rsidRPr="00202777">
              <w:rPr>
                <w:rFonts w:cs="Arial"/>
                <w:sz w:val="24"/>
                <w:szCs w:val="24"/>
              </w:rPr>
              <w:t>reforma</w:t>
            </w:r>
            <w:r w:rsidRPr="00202777">
              <w:rPr>
                <w:rFonts w:cs="Arial"/>
                <w:sz w:val="24"/>
                <w:szCs w:val="24"/>
              </w:rPr>
              <w:t xml:space="preserve"> </w:t>
            </w:r>
            <w:r>
              <w:rPr>
                <w:rFonts w:cs="Arial"/>
                <w:sz w:val="24"/>
                <w:szCs w:val="24"/>
              </w:rPr>
              <w:t>para ajustarlo a las necesidades del mercado</w:t>
            </w:r>
            <w:r w:rsidR="003B08BF">
              <w:rPr>
                <w:rFonts w:cs="Arial"/>
                <w:sz w:val="24"/>
                <w:szCs w:val="24"/>
              </w:rPr>
              <w:t xml:space="preserve">, </w:t>
            </w:r>
            <w:r w:rsidR="003B08BF" w:rsidRPr="001360E2">
              <w:rPr>
                <w:rFonts w:cs="Arial"/>
                <w:sz w:val="24"/>
                <w:szCs w:val="24"/>
              </w:rPr>
              <w:t xml:space="preserve">máxime si se tiene en cuenta que se expidió </w:t>
            </w:r>
            <w:r w:rsidR="003B08BF">
              <w:rPr>
                <w:rFonts w:cs="Arial"/>
                <w:sz w:val="24"/>
                <w:szCs w:val="24"/>
              </w:rPr>
              <w:t xml:space="preserve">el Decreto 1562 </w:t>
            </w:r>
            <w:r w:rsidR="003B08BF" w:rsidRPr="001360E2">
              <w:rPr>
                <w:rFonts w:cs="Arial"/>
                <w:sz w:val="24"/>
                <w:szCs w:val="24"/>
              </w:rPr>
              <w:t>de 2019</w:t>
            </w:r>
            <w:r w:rsidR="003B08BF">
              <w:rPr>
                <w:rFonts w:cs="Arial"/>
                <w:sz w:val="24"/>
                <w:szCs w:val="24"/>
              </w:rPr>
              <w:t xml:space="preserve"> y sus</w:t>
            </w:r>
            <w:r w:rsidR="003B08BF" w:rsidRPr="001360E2">
              <w:rPr>
                <w:rFonts w:cs="Arial"/>
                <w:sz w:val="24"/>
                <w:szCs w:val="24"/>
              </w:rPr>
              <w:t xml:space="preserve"> disposiciones deben ser incorporadas en el reglamento de cesantías del FNA.</w:t>
            </w:r>
          </w:p>
          <w:p w:rsidR="002B4CAC" w:rsidRPr="00202777" w:rsidRDefault="002B4CAC" w:rsidP="000839F7">
            <w:pPr>
              <w:jc w:val="both"/>
              <w:rPr>
                <w:rFonts w:cs="Arial"/>
                <w:sz w:val="24"/>
                <w:szCs w:val="24"/>
              </w:rPr>
            </w:pPr>
          </w:p>
        </w:tc>
      </w:tr>
    </w:tbl>
    <w:p w:rsidR="008516AF" w:rsidRPr="008516AF" w:rsidRDefault="008516AF" w:rsidP="00814F54">
      <w:pPr>
        <w:jc w:val="both"/>
        <w:rPr>
          <w:sz w:val="24"/>
          <w:szCs w:val="24"/>
        </w:rPr>
      </w:pPr>
      <w:bookmarkStart w:id="0" w:name="_GoBack"/>
      <w:bookmarkEnd w:id="0"/>
    </w:p>
    <w:sectPr w:rsidR="008516AF" w:rsidRPr="008516AF" w:rsidSect="00615C5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E5C" w:rsidRDefault="00576E5C" w:rsidP="00143CFA">
      <w:r>
        <w:separator/>
      </w:r>
    </w:p>
  </w:endnote>
  <w:endnote w:type="continuationSeparator" w:id="0">
    <w:p w:rsidR="00576E5C" w:rsidRDefault="00576E5C"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E5C" w:rsidRDefault="00576E5C" w:rsidP="00143CFA">
      <w:r>
        <w:separator/>
      </w:r>
    </w:p>
  </w:footnote>
  <w:footnote w:type="continuationSeparator" w:id="0">
    <w:p w:rsidR="00576E5C" w:rsidRDefault="00576E5C" w:rsidP="00143C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732" w:rsidRDefault="009C2732">
    <w:pPr>
      <w:pStyle w:val="Encabezado"/>
    </w:pPr>
    <w:r>
      <w:rPr>
        <w:noProof/>
        <w:lang w:val="es-CO" w:eastAsia="es-CO"/>
      </w:rPr>
      <w:drawing>
        <wp:anchor distT="0" distB="0" distL="114300" distR="114300" simplePos="0" relativeHeight="251658240" behindDoc="1" locked="0" layoutInCell="1" allowOverlap="1">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732" w:rsidRDefault="009C2732">
    <w:pPr>
      <w:pStyle w:val="Encabezado"/>
    </w:pPr>
  </w:p>
  <w:p w:rsidR="009C2732" w:rsidRDefault="009C2732">
    <w:pPr>
      <w:pStyle w:val="Encabezado"/>
    </w:pPr>
  </w:p>
  <w:p w:rsidR="009C2732" w:rsidRDefault="009C273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9B5"/>
    <w:multiLevelType w:val="hybridMultilevel"/>
    <w:tmpl w:val="18F853E0"/>
    <w:lvl w:ilvl="0" w:tplc="41C6DDD4">
      <w:start w:val="1"/>
      <w:numFmt w:val="lowerLetter"/>
      <w:lvlText w:val="%1)"/>
      <w:lvlJc w:val="left"/>
      <w:pPr>
        <w:tabs>
          <w:tab w:val="num" w:pos="720"/>
        </w:tabs>
        <w:ind w:left="720" w:hanging="360"/>
      </w:pPr>
    </w:lvl>
    <w:lvl w:ilvl="1" w:tplc="B0EA88AC" w:tentative="1">
      <w:start w:val="1"/>
      <w:numFmt w:val="lowerLetter"/>
      <w:lvlText w:val="%2)"/>
      <w:lvlJc w:val="left"/>
      <w:pPr>
        <w:tabs>
          <w:tab w:val="num" w:pos="1440"/>
        </w:tabs>
        <w:ind w:left="1440" w:hanging="360"/>
      </w:pPr>
    </w:lvl>
    <w:lvl w:ilvl="2" w:tplc="A34C4876" w:tentative="1">
      <w:start w:val="1"/>
      <w:numFmt w:val="lowerLetter"/>
      <w:lvlText w:val="%3)"/>
      <w:lvlJc w:val="left"/>
      <w:pPr>
        <w:tabs>
          <w:tab w:val="num" w:pos="2160"/>
        </w:tabs>
        <w:ind w:left="2160" w:hanging="360"/>
      </w:pPr>
    </w:lvl>
    <w:lvl w:ilvl="3" w:tplc="44F01E7A" w:tentative="1">
      <w:start w:val="1"/>
      <w:numFmt w:val="lowerLetter"/>
      <w:lvlText w:val="%4)"/>
      <w:lvlJc w:val="left"/>
      <w:pPr>
        <w:tabs>
          <w:tab w:val="num" w:pos="2880"/>
        </w:tabs>
        <w:ind w:left="2880" w:hanging="360"/>
      </w:pPr>
    </w:lvl>
    <w:lvl w:ilvl="4" w:tplc="7DCEE164" w:tentative="1">
      <w:start w:val="1"/>
      <w:numFmt w:val="lowerLetter"/>
      <w:lvlText w:val="%5)"/>
      <w:lvlJc w:val="left"/>
      <w:pPr>
        <w:tabs>
          <w:tab w:val="num" w:pos="3600"/>
        </w:tabs>
        <w:ind w:left="3600" w:hanging="360"/>
      </w:pPr>
    </w:lvl>
    <w:lvl w:ilvl="5" w:tplc="61DE0D86" w:tentative="1">
      <w:start w:val="1"/>
      <w:numFmt w:val="lowerLetter"/>
      <w:lvlText w:val="%6)"/>
      <w:lvlJc w:val="left"/>
      <w:pPr>
        <w:tabs>
          <w:tab w:val="num" w:pos="4320"/>
        </w:tabs>
        <w:ind w:left="4320" w:hanging="360"/>
      </w:pPr>
    </w:lvl>
    <w:lvl w:ilvl="6" w:tplc="4B16FEF0" w:tentative="1">
      <w:start w:val="1"/>
      <w:numFmt w:val="lowerLetter"/>
      <w:lvlText w:val="%7)"/>
      <w:lvlJc w:val="left"/>
      <w:pPr>
        <w:tabs>
          <w:tab w:val="num" w:pos="5040"/>
        </w:tabs>
        <w:ind w:left="5040" w:hanging="360"/>
      </w:pPr>
    </w:lvl>
    <w:lvl w:ilvl="7" w:tplc="CE60AF04" w:tentative="1">
      <w:start w:val="1"/>
      <w:numFmt w:val="lowerLetter"/>
      <w:lvlText w:val="%8)"/>
      <w:lvlJc w:val="left"/>
      <w:pPr>
        <w:tabs>
          <w:tab w:val="num" w:pos="5760"/>
        </w:tabs>
        <w:ind w:left="5760" w:hanging="360"/>
      </w:pPr>
    </w:lvl>
    <w:lvl w:ilvl="8" w:tplc="E27EB836" w:tentative="1">
      <w:start w:val="1"/>
      <w:numFmt w:val="lowerLetter"/>
      <w:lvlText w:val="%9)"/>
      <w:lvlJc w:val="left"/>
      <w:pPr>
        <w:tabs>
          <w:tab w:val="num" w:pos="6480"/>
        </w:tabs>
        <w:ind w:left="6480" w:hanging="360"/>
      </w:pPr>
    </w:lvl>
  </w:abstractNum>
  <w:abstractNum w:abstractNumId="1" w15:restartNumberingAfterBreak="0">
    <w:nsid w:val="11F75E9F"/>
    <w:multiLevelType w:val="hybridMultilevel"/>
    <w:tmpl w:val="A15028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B758E9"/>
    <w:multiLevelType w:val="hybridMultilevel"/>
    <w:tmpl w:val="43D468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A6902EF"/>
    <w:multiLevelType w:val="hybridMultilevel"/>
    <w:tmpl w:val="756077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DFD0BAF"/>
    <w:multiLevelType w:val="hybridMultilevel"/>
    <w:tmpl w:val="81D65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FAD2B92"/>
    <w:multiLevelType w:val="hybridMultilevel"/>
    <w:tmpl w:val="5F98AC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9FD39CE"/>
    <w:multiLevelType w:val="multilevel"/>
    <w:tmpl w:val="9490DF9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A6426C9"/>
    <w:multiLevelType w:val="multilevel"/>
    <w:tmpl w:val="11D0C594"/>
    <w:lvl w:ilvl="0">
      <w:start w:val="16"/>
      <w:numFmt w:val="decimal"/>
      <w:lvlText w:val="%1"/>
      <w:lvlJc w:val="left"/>
      <w:pPr>
        <w:ind w:left="465" w:hanging="465"/>
      </w:pPr>
      <w:rPr>
        <w:rFonts w:hint="default"/>
        <w:b/>
      </w:rPr>
    </w:lvl>
    <w:lvl w:ilvl="1">
      <w:start w:val="1"/>
      <w:numFmt w:val="decimal"/>
      <w:lvlText w:val="%1.%2"/>
      <w:lvlJc w:val="left"/>
      <w:pPr>
        <w:ind w:left="606" w:hanging="465"/>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2"/>
  </w:num>
  <w:num w:numId="3">
    <w:abstractNumId w:val="6"/>
  </w:num>
  <w:num w:numId="4">
    <w:abstractNumId w:val="0"/>
  </w:num>
  <w:num w:numId="5">
    <w:abstractNumId w:val="5"/>
  </w:num>
  <w:num w:numId="6">
    <w:abstractNumId w:val="9"/>
  </w:num>
  <w:num w:numId="7">
    <w:abstractNumId w:val="1"/>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8D"/>
    <w:rsid w:val="000116F9"/>
    <w:rsid w:val="00011B0B"/>
    <w:rsid w:val="000136D2"/>
    <w:rsid w:val="00017D04"/>
    <w:rsid w:val="000520C6"/>
    <w:rsid w:val="00057025"/>
    <w:rsid w:val="00071DE6"/>
    <w:rsid w:val="000839F7"/>
    <w:rsid w:val="000845D5"/>
    <w:rsid w:val="0008483B"/>
    <w:rsid w:val="00086658"/>
    <w:rsid w:val="00086DEF"/>
    <w:rsid w:val="0009232C"/>
    <w:rsid w:val="000A36FD"/>
    <w:rsid w:val="000B3D8C"/>
    <w:rsid w:val="000B6E31"/>
    <w:rsid w:val="000D17A1"/>
    <w:rsid w:val="000D24CD"/>
    <w:rsid w:val="000E0AF6"/>
    <w:rsid w:val="000E7642"/>
    <w:rsid w:val="000F4094"/>
    <w:rsid w:val="000F5DFE"/>
    <w:rsid w:val="0011042A"/>
    <w:rsid w:val="00112E21"/>
    <w:rsid w:val="00120D43"/>
    <w:rsid w:val="00126DC0"/>
    <w:rsid w:val="0013738E"/>
    <w:rsid w:val="00143CFA"/>
    <w:rsid w:val="00153288"/>
    <w:rsid w:val="001541D9"/>
    <w:rsid w:val="00163713"/>
    <w:rsid w:val="00166ABD"/>
    <w:rsid w:val="00170742"/>
    <w:rsid w:val="00170BC2"/>
    <w:rsid w:val="0017608B"/>
    <w:rsid w:val="0017772A"/>
    <w:rsid w:val="0018046A"/>
    <w:rsid w:val="00182D35"/>
    <w:rsid w:val="00187CAC"/>
    <w:rsid w:val="001B1FE0"/>
    <w:rsid w:val="001D4736"/>
    <w:rsid w:val="001D7466"/>
    <w:rsid w:val="001E3EC7"/>
    <w:rsid w:val="001E7837"/>
    <w:rsid w:val="001F7234"/>
    <w:rsid w:val="00200116"/>
    <w:rsid w:val="00202777"/>
    <w:rsid w:val="00211908"/>
    <w:rsid w:val="0021642F"/>
    <w:rsid w:val="0022020A"/>
    <w:rsid w:val="0023236C"/>
    <w:rsid w:val="0023348A"/>
    <w:rsid w:val="00234935"/>
    <w:rsid w:val="002349B4"/>
    <w:rsid w:val="00235707"/>
    <w:rsid w:val="0025563A"/>
    <w:rsid w:val="002606A2"/>
    <w:rsid w:val="00263420"/>
    <w:rsid w:val="002734B4"/>
    <w:rsid w:val="00274B0C"/>
    <w:rsid w:val="00274CB3"/>
    <w:rsid w:val="00282A1A"/>
    <w:rsid w:val="00283BEE"/>
    <w:rsid w:val="0029342C"/>
    <w:rsid w:val="00294B78"/>
    <w:rsid w:val="00296C8F"/>
    <w:rsid w:val="002A6F95"/>
    <w:rsid w:val="002A757F"/>
    <w:rsid w:val="002B1F4F"/>
    <w:rsid w:val="002B4CAC"/>
    <w:rsid w:val="002B7543"/>
    <w:rsid w:val="002C00C2"/>
    <w:rsid w:val="002F1B64"/>
    <w:rsid w:val="002F5EFD"/>
    <w:rsid w:val="002F7FA6"/>
    <w:rsid w:val="00313707"/>
    <w:rsid w:val="00321A7F"/>
    <w:rsid w:val="00327E68"/>
    <w:rsid w:val="00333246"/>
    <w:rsid w:val="0033481C"/>
    <w:rsid w:val="00335DCF"/>
    <w:rsid w:val="00335E82"/>
    <w:rsid w:val="003367CE"/>
    <w:rsid w:val="00336FB2"/>
    <w:rsid w:val="0033762B"/>
    <w:rsid w:val="00337786"/>
    <w:rsid w:val="00337C71"/>
    <w:rsid w:val="003415E1"/>
    <w:rsid w:val="003461A8"/>
    <w:rsid w:val="00357DB8"/>
    <w:rsid w:val="00364850"/>
    <w:rsid w:val="0036574C"/>
    <w:rsid w:val="003676FB"/>
    <w:rsid w:val="003A07B5"/>
    <w:rsid w:val="003A568B"/>
    <w:rsid w:val="003B08BF"/>
    <w:rsid w:val="003B1770"/>
    <w:rsid w:val="003B180C"/>
    <w:rsid w:val="003E5126"/>
    <w:rsid w:val="003F56F4"/>
    <w:rsid w:val="004024EB"/>
    <w:rsid w:val="0042403D"/>
    <w:rsid w:val="00426971"/>
    <w:rsid w:val="00441FFA"/>
    <w:rsid w:val="00444EED"/>
    <w:rsid w:val="00447679"/>
    <w:rsid w:val="00447E7F"/>
    <w:rsid w:val="004503B9"/>
    <w:rsid w:val="004611E9"/>
    <w:rsid w:val="00472E44"/>
    <w:rsid w:val="00474C7B"/>
    <w:rsid w:val="00487C74"/>
    <w:rsid w:val="004974DF"/>
    <w:rsid w:val="004A11DB"/>
    <w:rsid w:val="004B06FD"/>
    <w:rsid w:val="004D2607"/>
    <w:rsid w:val="004D71E2"/>
    <w:rsid w:val="004D74E5"/>
    <w:rsid w:val="004E54E3"/>
    <w:rsid w:val="004E7A7F"/>
    <w:rsid w:val="004F2D10"/>
    <w:rsid w:val="004F4887"/>
    <w:rsid w:val="004F79F8"/>
    <w:rsid w:val="004F7BFB"/>
    <w:rsid w:val="0051785D"/>
    <w:rsid w:val="005203A3"/>
    <w:rsid w:val="005379AB"/>
    <w:rsid w:val="00542687"/>
    <w:rsid w:val="005531C7"/>
    <w:rsid w:val="005539C3"/>
    <w:rsid w:val="00557544"/>
    <w:rsid w:val="00576E5C"/>
    <w:rsid w:val="005779A4"/>
    <w:rsid w:val="0058620E"/>
    <w:rsid w:val="005902B8"/>
    <w:rsid w:val="00592753"/>
    <w:rsid w:val="00592CAA"/>
    <w:rsid w:val="005A6873"/>
    <w:rsid w:val="005A7CE8"/>
    <w:rsid w:val="005B341E"/>
    <w:rsid w:val="005C48CC"/>
    <w:rsid w:val="005D01B4"/>
    <w:rsid w:val="005D2ED8"/>
    <w:rsid w:val="005D4E44"/>
    <w:rsid w:val="005E059C"/>
    <w:rsid w:val="005F1B4D"/>
    <w:rsid w:val="00605095"/>
    <w:rsid w:val="00615C52"/>
    <w:rsid w:val="00635418"/>
    <w:rsid w:val="0063729D"/>
    <w:rsid w:val="00645625"/>
    <w:rsid w:val="0065663E"/>
    <w:rsid w:val="006610C9"/>
    <w:rsid w:val="00665105"/>
    <w:rsid w:val="00691602"/>
    <w:rsid w:val="00692C91"/>
    <w:rsid w:val="006948A4"/>
    <w:rsid w:val="006B3A17"/>
    <w:rsid w:val="006B590A"/>
    <w:rsid w:val="006D0611"/>
    <w:rsid w:val="006D26E6"/>
    <w:rsid w:val="006D562F"/>
    <w:rsid w:val="006E0705"/>
    <w:rsid w:val="006E36C4"/>
    <w:rsid w:val="006E3E91"/>
    <w:rsid w:val="006F26C0"/>
    <w:rsid w:val="007048A7"/>
    <w:rsid w:val="00707B66"/>
    <w:rsid w:val="007174AC"/>
    <w:rsid w:val="00721051"/>
    <w:rsid w:val="00725341"/>
    <w:rsid w:val="00730061"/>
    <w:rsid w:val="00730E9D"/>
    <w:rsid w:val="00740DF4"/>
    <w:rsid w:val="00741EED"/>
    <w:rsid w:val="00743923"/>
    <w:rsid w:val="007449AB"/>
    <w:rsid w:val="00747C4C"/>
    <w:rsid w:val="0075157D"/>
    <w:rsid w:val="0075562E"/>
    <w:rsid w:val="00772B5A"/>
    <w:rsid w:val="0077692F"/>
    <w:rsid w:val="007809F2"/>
    <w:rsid w:val="00780B81"/>
    <w:rsid w:val="007810D5"/>
    <w:rsid w:val="00782409"/>
    <w:rsid w:val="00783B7F"/>
    <w:rsid w:val="007913FA"/>
    <w:rsid w:val="00795D60"/>
    <w:rsid w:val="00797504"/>
    <w:rsid w:val="00797689"/>
    <w:rsid w:val="007977EC"/>
    <w:rsid w:val="007A0126"/>
    <w:rsid w:val="007A35B2"/>
    <w:rsid w:val="007B44A8"/>
    <w:rsid w:val="007B5CBD"/>
    <w:rsid w:val="007D1360"/>
    <w:rsid w:val="007D2AFD"/>
    <w:rsid w:val="007D5A81"/>
    <w:rsid w:val="007D6EA7"/>
    <w:rsid w:val="007E53A2"/>
    <w:rsid w:val="007F14F5"/>
    <w:rsid w:val="007F58C3"/>
    <w:rsid w:val="00814F54"/>
    <w:rsid w:val="0082182A"/>
    <w:rsid w:val="00825584"/>
    <w:rsid w:val="00836BC0"/>
    <w:rsid w:val="00845F78"/>
    <w:rsid w:val="008470B4"/>
    <w:rsid w:val="008516AF"/>
    <w:rsid w:val="0086310F"/>
    <w:rsid w:val="00867D98"/>
    <w:rsid w:val="00870C71"/>
    <w:rsid w:val="008778FC"/>
    <w:rsid w:val="00891591"/>
    <w:rsid w:val="00893213"/>
    <w:rsid w:val="00895AB6"/>
    <w:rsid w:val="008B2C32"/>
    <w:rsid w:val="008B3C6C"/>
    <w:rsid w:val="008B4EE1"/>
    <w:rsid w:val="008D600D"/>
    <w:rsid w:val="008E1BA1"/>
    <w:rsid w:val="008E24EA"/>
    <w:rsid w:val="008F28CD"/>
    <w:rsid w:val="00900E09"/>
    <w:rsid w:val="00923782"/>
    <w:rsid w:val="009453CC"/>
    <w:rsid w:val="009556C9"/>
    <w:rsid w:val="00964E68"/>
    <w:rsid w:val="00973138"/>
    <w:rsid w:val="00974BC6"/>
    <w:rsid w:val="00985F67"/>
    <w:rsid w:val="009918A3"/>
    <w:rsid w:val="009935DB"/>
    <w:rsid w:val="009943CE"/>
    <w:rsid w:val="009A0DA1"/>
    <w:rsid w:val="009A4994"/>
    <w:rsid w:val="009A6494"/>
    <w:rsid w:val="009B0AC9"/>
    <w:rsid w:val="009B2911"/>
    <w:rsid w:val="009B3D43"/>
    <w:rsid w:val="009B4749"/>
    <w:rsid w:val="009B6931"/>
    <w:rsid w:val="009C2732"/>
    <w:rsid w:val="009C2C35"/>
    <w:rsid w:val="009D4DAB"/>
    <w:rsid w:val="009E04A2"/>
    <w:rsid w:val="009F11C6"/>
    <w:rsid w:val="009F5EF8"/>
    <w:rsid w:val="00A1374D"/>
    <w:rsid w:val="00A13EA8"/>
    <w:rsid w:val="00A27B5D"/>
    <w:rsid w:val="00A31A6D"/>
    <w:rsid w:val="00A340EC"/>
    <w:rsid w:val="00A40889"/>
    <w:rsid w:val="00A51B5E"/>
    <w:rsid w:val="00A56AE8"/>
    <w:rsid w:val="00A57554"/>
    <w:rsid w:val="00A57862"/>
    <w:rsid w:val="00A606B7"/>
    <w:rsid w:val="00A667F2"/>
    <w:rsid w:val="00A66EFE"/>
    <w:rsid w:val="00A67E54"/>
    <w:rsid w:val="00A7277B"/>
    <w:rsid w:val="00A747EB"/>
    <w:rsid w:val="00A74C20"/>
    <w:rsid w:val="00A91563"/>
    <w:rsid w:val="00A960FC"/>
    <w:rsid w:val="00A965D8"/>
    <w:rsid w:val="00A971D7"/>
    <w:rsid w:val="00AA4DDE"/>
    <w:rsid w:val="00AA6BD0"/>
    <w:rsid w:val="00AB4E9B"/>
    <w:rsid w:val="00AB64BF"/>
    <w:rsid w:val="00AE2453"/>
    <w:rsid w:val="00B033B1"/>
    <w:rsid w:val="00B2436C"/>
    <w:rsid w:val="00B3070C"/>
    <w:rsid w:val="00B31CD9"/>
    <w:rsid w:val="00B44160"/>
    <w:rsid w:val="00B6161F"/>
    <w:rsid w:val="00B67328"/>
    <w:rsid w:val="00B70BBE"/>
    <w:rsid w:val="00B70C51"/>
    <w:rsid w:val="00B724D5"/>
    <w:rsid w:val="00B744C1"/>
    <w:rsid w:val="00B80C50"/>
    <w:rsid w:val="00B818F9"/>
    <w:rsid w:val="00B9058E"/>
    <w:rsid w:val="00B95247"/>
    <w:rsid w:val="00B95712"/>
    <w:rsid w:val="00B97361"/>
    <w:rsid w:val="00BC25D6"/>
    <w:rsid w:val="00BD47A3"/>
    <w:rsid w:val="00BE2D29"/>
    <w:rsid w:val="00BE3889"/>
    <w:rsid w:val="00BF524C"/>
    <w:rsid w:val="00C0667D"/>
    <w:rsid w:val="00C0766B"/>
    <w:rsid w:val="00C077BD"/>
    <w:rsid w:val="00C128B5"/>
    <w:rsid w:val="00C143E8"/>
    <w:rsid w:val="00C168A3"/>
    <w:rsid w:val="00C3175A"/>
    <w:rsid w:val="00C3361D"/>
    <w:rsid w:val="00C33D66"/>
    <w:rsid w:val="00C44693"/>
    <w:rsid w:val="00C47989"/>
    <w:rsid w:val="00C51C4F"/>
    <w:rsid w:val="00C655DD"/>
    <w:rsid w:val="00C657B1"/>
    <w:rsid w:val="00C6595D"/>
    <w:rsid w:val="00C65BE3"/>
    <w:rsid w:val="00C65C5D"/>
    <w:rsid w:val="00C735BC"/>
    <w:rsid w:val="00C7778A"/>
    <w:rsid w:val="00C86116"/>
    <w:rsid w:val="00C8656B"/>
    <w:rsid w:val="00C90B58"/>
    <w:rsid w:val="00CA57DD"/>
    <w:rsid w:val="00CC2071"/>
    <w:rsid w:val="00CC30A9"/>
    <w:rsid w:val="00CD06A4"/>
    <w:rsid w:val="00CE5BF5"/>
    <w:rsid w:val="00CF462B"/>
    <w:rsid w:val="00D01576"/>
    <w:rsid w:val="00D03EFB"/>
    <w:rsid w:val="00D066E8"/>
    <w:rsid w:val="00D11A76"/>
    <w:rsid w:val="00D15257"/>
    <w:rsid w:val="00D155AF"/>
    <w:rsid w:val="00D1719E"/>
    <w:rsid w:val="00D200C5"/>
    <w:rsid w:val="00D37A3A"/>
    <w:rsid w:val="00D41117"/>
    <w:rsid w:val="00D41EE3"/>
    <w:rsid w:val="00D460FA"/>
    <w:rsid w:val="00D512AD"/>
    <w:rsid w:val="00D51313"/>
    <w:rsid w:val="00D56182"/>
    <w:rsid w:val="00D566E0"/>
    <w:rsid w:val="00D6689A"/>
    <w:rsid w:val="00D73B6C"/>
    <w:rsid w:val="00D7791B"/>
    <w:rsid w:val="00D8316D"/>
    <w:rsid w:val="00DA0551"/>
    <w:rsid w:val="00DA5DC6"/>
    <w:rsid w:val="00DB3E1E"/>
    <w:rsid w:val="00DC41F0"/>
    <w:rsid w:val="00DD2925"/>
    <w:rsid w:val="00DD3C0C"/>
    <w:rsid w:val="00DD7542"/>
    <w:rsid w:val="00DE192C"/>
    <w:rsid w:val="00DE1D17"/>
    <w:rsid w:val="00DF0547"/>
    <w:rsid w:val="00DF4520"/>
    <w:rsid w:val="00E16591"/>
    <w:rsid w:val="00E30E40"/>
    <w:rsid w:val="00E32C35"/>
    <w:rsid w:val="00E5024A"/>
    <w:rsid w:val="00E54F6B"/>
    <w:rsid w:val="00E564EE"/>
    <w:rsid w:val="00E573DA"/>
    <w:rsid w:val="00E70310"/>
    <w:rsid w:val="00E87E94"/>
    <w:rsid w:val="00E92FC8"/>
    <w:rsid w:val="00E952F1"/>
    <w:rsid w:val="00EB0159"/>
    <w:rsid w:val="00EC0042"/>
    <w:rsid w:val="00EC5AFF"/>
    <w:rsid w:val="00EC5DBC"/>
    <w:rsid w:val="00EC72CE"/>
    <w:rsid w:val="00EC7DF5"/>
    <w:rsid w:val="00ED0A60"/>
    <w:rsid w:val="00ED193D"/>
    <w:rsid w:val="00ED3D50"/>
    <w:rsid w:val="00ED704A"/>
    <w:rsid w:val="00ED71E6"/>
    <w:rsid w:val="00EE3EC4"/>
    <w:rsid w:val="00EF3539"/>
    <w:rsid w:val="00EF63EC"/>
    <w:rsid w:val="00F002F4"/>
    <w:rsid w:val="00F034E5"/>
    <w:rsid w:val="00F32BF4"/>
    <w:rsid w:val="00F35C25"/>
    <w:rsid w:val="00F44253"/>
    <w:rsid w:val="00F6792B"/>
    <w:rsid w:val="00F70628"/>
    <w:rsid w:val="00F83B25"/>
    <w:rsid w:val="00F8648F"/>
    <w:rsid w:val="00F87046"/>
    <w:rsid w:val="00F92E7D"/>
    <w:rsid w:val="00F9786F"/>
    <w:rsid w:val="00FA5FBB"/>
    <w:rsid w:val="00FA6307"/>
    <w:rsid w:val="00FB23BF"/>
    <w:rsid w:val="00FB5630"/>
    <w:rsid w:val="00FD3B2A"/>
    <w:rsid w:val="00FE562C"/>
    <w:rsid w:val="00FF066D"/>
    <w:rsid w:val="00FF0BDC"/>
    <w:rsid w:val="00FF1E8D"/>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BEC4"/>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453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CC"/>
    <w:rPr>
      <w:rFonts w:ascii="Segoe UI" w:eastAsia="Times New Roman" w:hAnsi="Segoe UI" w:cs="Segoe UI"/>
      <w:sz w:val="18"/>
      <w:szCs w:val="18"/>
      <w:lang w:val="es-ES" w:eastAsia="es-ES"/>
    </w:rPr>
  </w:style>
  <w:style w:type="paragraph" w:styleId="Sinespaciado">
    <w:name w:val="No Spacing"/>
    <w:uiPriority w:val="1"/>
    <w:qFormat/>
    <w:rsid w:val="009B3D43"/>
    <w:pPr>
      <w:spacing w:after="0" w:line="240" w:lineRule="auto"/>
    </w:pPr>
    <w:rPr>
      <w:rFonts w:ascii="Arial" w:eastAsia="Times New Roman" w:hAnsi="Arial" w:cs="Times New Roman"/>
      <w:sz w:val="20"/>
      <w:szCs w:val="20"/>
      <w:lang w:val="es-ES" w:eastAsia="es-ES"/>
    </w:rPr>
  </w:style>
  <w:style w:type="paragraph" w:customStyle="1" w:styleId="CM16">
    <w:name w:val="CM16"/>
    <w:basedOn w:val="Normal"/>
    <w:next w:val="Normal"/>
    <w:uiPriority w:val="99"/>
    <w:rsid w:val="00A27B5D"/>
    <w:pPr>
      <w:autoSpaceDE w:val="0"/>
      <w:autoSpaceDN w:val="0"/>
      <w:adjustRightInd w:val="0"/>
    </w:pPr>
    <w:rPr>
      <w:rFonts w:eastAsiaTheme="minorHAnsi" w:cs="Arial"/>
      <w:sz w:val="24"/>
      <w:szCs w:val="24"/>
      <w:lang w:val="es-CO" w:eastAsia="en-US"/>
    </w:rPr>
  </w:style>
  <w:style w:type="paragraph" w:customStyle="1" w:styleId="Default">
    <w:name w:val="Default"/>
    <w:rsid w:val="00A27B5D"/>
    <w:pPr>
      <w:autoSpaceDE w:val="0"/>
      <w:autoSpaceDN w:val="0"/>
      <w:adjustRightInd w:val="0"/>
      <w:spacing w:after="0" w:line="240" w:lineRule="auto"/>
    </w:pPr>
    <w:rPr>
      <w:rFonts w:ascii="Arial" w:hAnsi="Arial" w:cs="Arial"/>
      <w:color w:val="000000"/>
      <w:sz w:val="24"/>
      <w:szCs w:val="24"/>
      <w:lang w:val="es-CO"/>
    </w:rPr>
  </w:style>
  <w:style w:type="paragraph" w:customStyle="1" w:styleId="CM20">
    <w:name w:val="CM20"/>
    <w:basedOn w:val="Default"/>
    <w:next w:val="Default"/>
    <w:uiPriority w:val="99"/>
    <w:rsid w:val="00A27B5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512231106">
      <w:bodyDiv w:val="1"/>
      <w:marLeft w:val="0"/>
      <w:marRight w:val="0"/>
      <w:marTop w:val="0"/>
      <w:marBottom w:val="0"/>
      <w:divBdr>
        <w:top w:val="none" w:sz="0" w:space="0" w:color="auto"/>
        <w:left w:val="none" w:sz="0" w:space="0" w:color="auto"/>
        <w:bottom w:val="none" w:sz="0" w:space="0" w:color="auto"/>
        <w:right w:val="none" w:sz="0" w:space="0" w:color="auto"/>
      </w:divBdr>
    </w:div>
    <w:div w:id="596137427">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48380789">
      <w:bodyDiv w:val="1"/>
      <w:marLeft w:val="0"/>
      <w:marRight w:val="0"/>
      <w:marTop w:val="0"/>
      <w:marBottom w:val="0"/>
      <w:divBdr>
        <w:top w:val="none" w:sz="0" w:space="0" w:color="auto"/>
        <w:left w:val="none" w:sz="0" w:space="0" w:color="auto"/>
        <w:bottom w:val="none" w:sz="0" w:space="0" w:color="auto"/>
        <w:right w:val="none" w:sz="0" w:space="0" w:color="auto"/>
      </w:divBdr>
    </w:div>
    <w:div w:id="1069689453">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273705756">
      <w:bodyDiv w:val="1"/>
      <w:marLeft w:val="0"/>
      <w:marRight w:val="0"/>
      <w:marTop w:val="0"/>
      <w:marBottom w:val="0"/>
      <w:divBdr>
        <w:top w:val="none" w:sz="0" w:space="0" w:color="auto"/>
        <w:left w:val="none" w:sz="0" w:space="0" w:color="auto"/>
        <w:bottom w:val="none" w:sz="0" w:space="0" w:color="auto"/>
        <w:right w:val="none" w:sz="0" w:space="0" w:color="auto"/>
      </w:divBdr>
    </w:div>
    <w:div w:id="1342703404">
      <w:bodyDiv w:val="1"/>
      <w:marLeft w:val="0"/>
      <w:marRight w:val="0"/>
      <w:marTop w:val="0"/>
      <w:marBottom w:val="0"/>
      <w:divBdr>
        <w:top w:val="none" w:sz="0" w:space="0" w:color="auto"/>
        <w:left w:val="none" w:sz="0" w:space="0" w:color="auto"/>
        <w:bottom w:val="none" w:sz="0" w:space="0" w:color="auto"/>
        <w:right w:val="none" w:sz="0" w:space="0" w:color="auto"/>
      </w:divBdr>
    </w:div>
    <w:div w:id="1410039548">
      <w:bodyDiv w:val="1"/>
      <w:marLeft w:val="0"/>
      <w:marRight w:val="0"/>
      <w:marTop w:val="0"/>
      <w:marBottom w:val="0"/>
      <w:divBdr>
        <w:top w:val="none" w:sz="0" w:space="0" w:color="auto"/>
        <w:left w:val="none" w:sz="0" w:space="0" w:color="auto"/>
        <w:bottom w:val="none" w:sz="0" w:space="0" w:color="auto"/>
        <w:right w:val="none" w:sz="0" w:space="0" w:color="auto"/>
      </w:divBdr>
    </w:div>
    <w:div w:id="1423255572">
      <w:bodyDiv w:val="1"/>
      <w:marLeft w:val="0"/>
      <w:marRight w:val="0"/>
      <w:marTop w:val="0"/>
      <w:marBottom w:val="0"/>
      <w:divBdr>
        <w:top w:val="none" w:sz="0" w:space="0" w:color="auto"/>
        <w:left w:val="none" w:sz="0" w:space="0" w:color="auto"/>
        <w:bottom w:val="none" w:sz="0" w:space="0" w:color="auto"/>
        <w:right w:val="none" w:sz="0" w:space="0" w:color="auto"/>
      </w:divBdr>
      <w:divsChild>
        <w:div w:id="208342257">
          <w:marLeft w:val="547"/>
          <w:marRight w:val="0"/>
          <w:marTop w:val="0"/>
          <w:marBottom w:val="0"/>
          <w:divBdr>
            <w:top w:val="none" w:sz="0" w:space="0" w:color="auto"/>
            <w:left w:val="none" w:sz="0" w:space="0" w:color="auto"/>
            <w:bottom w:val="none" w:sz="0" w:space="0" w:color="auto"/>
            <w:right w:val="none" w:sz="0" w:space="0" w:color="auto"/>
          </w:divBdr>
        </w:div>
        <w:div w:id="895704810">
          <w:marLeft w:val="547"/>
          <w:marRight w:val="0"/>
          <w:marTop w:val="0"/>
          <w:marBottom w:val="0"/>
          <w:divBdr>
            <w:top w:val="none" w:sz="0" w:space="0" w:color="auto"/>
            <w:left w:val="none" w:sz="0" w:space="0" w:color="auto"/>
            <w:bottom w:val="none" w:sz="0" w:space="0" w:color="auto"/>
            <w:right w:val="none" w:sz="0" w:space="0" w:color="auto"/>
          </w:divBdr>
        </w:div>
      </w:divsChild>
    </w:div>
    <w:div w:id="1455564713">
      <w:bodyDiv w:val="1"/>
      <w:marLeft w:val="0"/>
      <w:marRight w:val="0"/>
      <w:marTop w:val="0"/>
      <w:marBottom w:val="0"/>
      <w:divBdr>
        <w:top w:val="none" w:sz="0" w:space="0" w:color="auto"/>
        <w:left w:val="none" w:sz="0" w:space="0" w:color="auto"/>
        <w:bottom w:val="none" w:sz="0" w:space="0" w:color="auto"/>
        <w:right w:val="none" w:sz="0" w:space="0" w:color="auto"/>
      </w:divBdr>
    </w:div>
    <w:div w:id="1628008993">
      <w:bodyDiv w:val="1"/>
      <w:marLeft w:val="0"/>
      <w:marRight w:val="0"/>
      <w:marTop w:val="0"/>
      <w:marBottom w:val="0"/>
      <w:divBdr>
        <w:top w:val="none" w:sz="0" w:space="0" w:color="auto"/>
        <w:left w:val="none" w:sz="0" w:space="0" w:color="auto"/>
        <w:bottom w:val="none" w:sz="0" w:space="0" w:color="auto"/>
        <w:right w:val="none" w:sz="0" w:space="0" w:color="auto"/>
      </w:divBdr>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1780642957">
      <w:bodyDiv w:val="1"/>
      <w:marLeft w:val="0"/>
      <w:marRight w:val="0"/>
      <w:marTop w:val="0"/>
      <w:marBottom w:val="0"/>
      <w:divBdr>
        <w:top w:val="none" w:sz="0" w:space="0" w:color="auto"/>
        <w:left w:val="none" w:sz="0" w:space="0" w:color="auto"/>
        <w:bottom w:val="none" w:sz="0" w:space="0" w:color="auto"/>
        <w:right w:val="none" w:sz="0" w:space="0" w:color="auto"/>
      </w:divBdr>
    </w:div>
    <w:div w:id="1942447366">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 w:id="20576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239EC-093B-4AF6-8FE9-F8397450C06A}">
  <ds:schemaRefs>
    <ds:schemaRef ds:uri="http://schemas.openxmlformats.org/officeDocument/2006/bibliography"/>
  </ds:schemaRefs>
</ds:datastoreItem>
</file>

<file path=customXml/itemProps2.xml><?xml version="1.0" encoding="utf-8"?>
<ds:datastoreItem xmlns:ds="http://schemas.openxmlformats.org/officeDocument/2006/customXml" ds:itemID="{04AC38CD-CA86-49D7-B658-FFBEE56967E1}"/>
</file>

<file path=customXml/itemProps3.xml><?xml version="1.0" encoding="utf-8"?>
<ds:datastoreItem xmlns:ds="http://schemas.openxmlformats.org/officeDocument/2006/customXml" ds:itemID="{5815FCE5-C0AB-4412-8150-B31B1261A422}"/>
</file>

<file path=customXml/itemProps4.xml><?xml version="1.0" encoding="utf-8"?>
<ds:datastoreItem xmlns:ds="http://schemas.openxmlformats.org/officeDocument/2006/customXml" ds:itemID="{2D1B5BF3-8A63-4B47-BEF9-AF978733FA35}"/>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4467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Zgonzalez</dc:creator>
  <cp:lastModifiedBy>GONZALO</cp:lastModifiedBy>
  <cp:revision>2</cp:revision>
  <cp:lastPrinted>2019-12-03T19:43:00Z</cp:lastPrinted>
  <dcterms:created xsi:type="dcterms:W3CDTF">2020-11-13T15:15:00Z</dcterms:created>
  <dcterms:modified xsi:type="dcterms:W3CDTF">2020-11-13T15:15:00Z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